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314B3" w:rsidRPr="00213C8C" w:rsidRDefault="006679FA" w:rsidP="00A21360">
      <w:pPr>
        <w:pStyle w:val="Nagwek1"/>
        <w:rPr>
          <w:rFonts w:asciiTheme="minorHAnsi" w:hAnsiTheme="minorHAnsi" w:cstheme="minorHAnsi"/>
          <w:szCs w:val="22"/>
        </w:rPr>
      </w:pPr>
      <w:r>
        <w:rPr>
          <w:rFonts w:cstheme="minorHAnsi"/>
          <w:b/>
          <w:noProof/>
          <w:lang w:eastAsia="pl-PL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438785</wp:posOffset>
            </wp:positionV>
            <wp:extent cx="2168525" cy="1455420"/>
            <wp:effectExtent l="0" t="0" r="3175" b="0"/>
            <wp:wrapSquare wrapText="bothSides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6372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1455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14B3" w:rsidRPr="00213C8C">
        <w:rPr>
          <w:rFonts w:asciiTheme="minorHAnsi" w:hAnsiTheme="minorHAnsi" w:cstheme="minorHAnsi"/>
          <w:szCs w:val="22"/>
        </w:rPr>
        <w:t xml:space="preserve">Informacja o </w:t>
      </w:r>
      <w:proofErr w:type="spellStart"/>
      <w:r w:rsidR="006314B3" w:rsidRPr="00213C8C">
        <w:rPr>
          <w:rFonts w:asciiTheme="minorHAnsi" w:hAnsiTheme="minorHAnsi" w:cstheme="minorHAnsi"/>
          <w:szCs w:val="22"/>
        </w:rPr>
        <w:t>zachorowaniach</w:t>
      </w:r>
      <w:proofErr w:type="spellEnd"/>
      <w:r w:rsidR="006314B3" w:rsidRPr="00213C8C">
        <w:rPr>
          <w:rFonts w:asciiTheme="minorHAnsi" w:hAnsiTheme="minorHAnsi" w:cstheme="minorHAnsi"/>
          <w:szCs w:val="22"/>
        </w:rPr>
        <w:t xml:space="preserve"> na </w:t>
      </w:r>
      <w:r w:rsidR="00A21360" w:rsidRPr="00213C8C">
        <w:rPr>
          <w:rFonts w:asciiTheme="minorHAnsi" w:hAnsiTheme="minorHAnsi" w:cstheme="minorHAnsi"/>
          <w:szCs w:val="22"/>
        </w:rPr>
        <w:t>tężec</w:t>
      </w:r>
      <w:r w:rsidR="006314B3" w:rsidRPr="00213C8C">
        <w:rPr>
          <w:rFonts w:asciiTheme="minorHAnsi" w:hAnsiTheme="minorHAnsi" w:cstheme="minorHAnsi"/>
          <w:szCs w:val="22"/>
        </w:rPr>
        <w:t>:</w:t>
      </w:r>
    </w:p>
    <w:p w:rsidR="00991E16" w:rsidRPr="00213C8C" w:rsidRDefault="00991E16" w:rsidP="00A21360">
      <w:pPr>
        <w:spacing w:after="0"/>
        <w:rPr>
          <w:rFonts w:cstheme="minorHAnsi"/>
          <w:b/>
        </w:rPr>
      </w:pPr>
    </w:p>
    <w:p w:rsidR="00991E16" w:rsidRPr="00213C8C" w:rsidRDefault="00991E16" w:rsidP="00A21360">
      <w:pPr>
        <w:spacing w:after="0"/>
        <w:rPr>
          <w:rFonts w:cstheme="minorHAnsi"/>
          <w:b/>
        </w:rPr>
      </w:pPr>
    </w:p>
    <w:p w:rsidR="00300E5E" w:rsidRPr="00213C8C" w:rsidRDefault="00300E5E" w:rsidP="00A21360">
      <w:pPr>
        <w:spacing w:after="0"/>
        <w:rPr>
          <w:rFonts w:cstheme="minorHAnsi"/>
          <w:b/>
        </w:rPr>
      </w:pPr>
    </w:p>
    <w:p w:rsidR="00991E16" w:rsidRPr="00213C8C" w:rsidRDefault="00991E16" w:rsidP="00A21360">
      <w:pPr>
        <w:spacing w:after="0"/>
        <w:rPr>
          <w:rFonts w:cstheme="minorHAnsi"/>
        </w:rPr>
      </w:pPr>
      <w:r w:rsidRPr="00EE6126">
        <w:rPr>
          <w:rFonts w:cstheme="minorHAnsi"/>
          <w:b/>
        </w:rPr>
        <w:t xml:space="preserve">Rycina 1. </w:t>
      </w:r>
      <w:r w:rsidR="00E71A93" w:rsidRPr="00213C8C">
        <w:rPr>
          <w:rFonts w:cstheme="minorHAnsi"/>
        </w:rPr>
        <w:t>Fotografia</w:t>
      </w:r>
      <w:r w:rsidR="00300E5E" w:rsidRPr="00213C8C">
        <w:rPr>
          <w:rFonts w:cstheme="minorHAnsi"/>
        </w:rPr>
        <w:t xml:space="preserve"> mikroskopowa laseczek tężca (</w:t>
      </w:r>
      <w:r w:rsidR="00300E5E" w:rsidRPr="00E71A93">
        <w:rPr>
          <w:rFonts w:cstheme="minorHAnsi"/>
          <w:i/>
        </w:rPr>
        <w:t xml:space="preserve">Clostridium </w:t>
      </w:r>
      <w:proofErr w:type="spellStart"/>
      <w:r w:rsidR="00300E5E" w:rsidRPr="00E71A93">
        <w:rPr>
          <w:rFonts w:cstheme="minorHAnsi"/>
          <w:i/>
        </w:rPr>
        <w:t>tetani</w:t>
      </w:r>
      <w:proofErr w:type="spellEnd"/>
      <w:r w:rsidR="00300E5E" w:rsidRPr="00213C8C">
        <w:rPr>
          <w:rFonts w:cstheme="minorHAnsi"/>
        </w:rPr>
        <w:t xml:space="preserve">) odpowiedzialnych za wywoływanie tężca wśród ludzi. Niektóre </w:t>
      </w:r>
      <w:r w:rsidR="00E71A93">
        <w:rPr>
          <w:rFonts w:cstheme="minorHAnsi"/>
        </w:rPr>
        <w:t xml:space="preserve">laseczki </w:t>
      </w:r>
      <w:r w:rsidR="00300E5E" w:rsidRPr="00213C8C">
        <w:rPr>
          <w:rFonts w:cstheme="minorHAnsi"/>
        </w:rPr>
        <w:t>weszły w fazę przetrwalników wykazując wygląd “rakiety tenisowej”. Źródło: Public Health Image Library (PHIL), CDC.</w:t>
      </w:r>
    </w:p>
    <w:p w:rsidR="00991E16" w:rsidRPr="00213C8C" w:rsidRDefault="00991E16" w:rsidP="00A21360">
      <w:pPr>
        <w:spacing w:after="0"/>
        <w:rPr>
          <w:rFonts w:cstheme="minorHAnsi"/>
          <w:b/>
        </w:rPr>
      </w:pPr>
    </w:p>
    <w:p w:rsidR="00991E16" w:rsidRPr="00213C8C" w:rsidRDefault="0003604F" w:rsidP="00A21360">
      <w:pPr>
        <w:spacing w:after="0"/>
        <w:rPr>
          <w:rFonts w:cstheme="minorHAnsi"/>
        </w:rPr>
      </w:pPr>
      <w:r w:rsidRPr="00213C8C">
        <w:rPr>
          <w:rFonts w:cstheme="minorHAnsi"/>
          <w:b/>
        </w:rPr>
        <w:t>Objawy:</w:t>
      </w:r>
      <w:r w:rsidRPr="00213C8C">
        <w:rPr>
          <w:rFonts w:cstheme="minorHAnsi"/>
        </w:rPr>
        <w:t xml:space="preserve"> </w:t>
      </w:r>
      <w:r w:rsidR="00036516" w:rsidRPr="00213C8C">
        <w:rPr>
          <w:rFonts w:cstheme="minorHAnsi"/>
        </w:rPr>
        <w:t xml:space="preserve">Objawy tężca są wynikiem działania toksyny produkowanej przez </w:t>
      </w:r>
      <w:r w:rsidR="00991E16" w:rsidRPr="00213C8C">
        <w:rPr>
          <w:rFonts w:cstheme="minorHAnsi"/>
        </w:rPr>
        <w:t xml:space="preserve">beztlenowe </w:t>
      </w:r>
      <w:r w:rsidR="00036516" w:rsidRPr="00213C8C">
        <w:rPr>
          <w:rFonts w:cstheme="minorHAnsi"/>
        </w:rPr>
        <w:t xml:space="preserve">laseczki tężca </w:t>
      </w:r>
      <w:r w:rsidR="00592686" w:rsidRPr="00213C8C">
        <w:rPr>
          <w:rFonts w:cstheme="minorHAnsi"/>
        </w:rPr>
        <w:t xml:space="preserve">obecne w zakażonej ranie. </w:t>
      </w:r>
      <w:r w:rsidR="0074751A" w:rsidRPr="00213C8C">
        <w:rPr>
          <w:rFonts w:cstheme="minorHAnsi"/>
        </w:rPr>
        <w:t xml:space="preserve">Najczęstszą postacią </w:t>
      </w:r>
      <w:r w:rsidR="00E71A93">
        <w:rPr>
          <w:rFonts w:cstheme="minorHAnsi"/>
        </w:rPr>
        <w:t xml:space="preserve">tężca </w:t>
      </w:r>
      <w:r w:rsidR="0074751A" w:rsidRPr="00213C8C">
        <w:rPr>
          <w:rFonts w:cstheme="minorHAnsi"/>
        </w:rPr>
        <w:t xml:space="preserve">jest postać uogólniona. </w:t>
      </w:r>
      <w:r w:rsidR="00592686" w:rsidRPr="00213C8C">
        <w:rPr>
          <w:rFonts w:cstheme="minorHAnsi"/>
        </w:rPr>
        <w:t>W obrazie klinicznym dominuje skurcz mięśni. Przewaga silnych mięśni nad słabymi prowadzi do typowych dla tężca objawów takich jak szczękościsk</w:t>
      </w:r>
      <w:r w:rsidR="0074751A" w:rsidRPr="00213C8C">
        <w:rPr>
          <w:rFonts w:cstheme="minorHAnsi"/>
        </w:rPr>
        <w:t xml:space="preserve">, </w:t>
      </w:r>
      <w:r w:rsidR="00F9328A" w:rsidRPr="00213C8C">
        <w:rPr>
          <w:rFonts w:cstheme="minorHAnsi"/>
        </w:rPr>
        <w:t xml:space="preserve">zaburzenia połykania, </w:t>
      </w:r>
      <w:r w:rsidR="0074751A" w:rsidRPr="00213C8C">
        <w:rPr>
          <w:rFonts w:cstheme="minorHAnsi"/>
        </w:rPr>
        <w:t>kurcz mięśni tułowia i kończyn powodujący łukowate wygięcie ciała</w:t>
      </w:r>
      <w:r w:rsidR="00991E16" w:rsidRPr="00213C8C">
        <w:rPr>
          <w:rFonts w:cstheme="minorHAnsi"/>
        </w:rPr>
        <w:t xml:space="preserve"> (</w:t>
      </w:r>
      <w:proofErr w:type="spellStart"/>
      <w:r w:rsidR="00991E16" w:rsidRPr="00213C8C">
        <w:rPr>
          <w:rFonts w:cstheme="minorHAnsi"/>
          <w:i/>
        </w:rPr>
        <w:t>opistotonus</w:t>
      </w:r>
      <w:proofErr w:type="spellEnd"/>
      <w:r w:rsidR="00991E16" w:rsidRPr="00213C8C">
        <w:rPr>
          <w:rFonts w:cstheme="minorHAnsi"/>
        </w:rPr>
        <w:t>)</w:t>
      </w:r>
      <w:r w:rsidR="0074751A" w:rsidRPr="00213C8C">
        <w:rPr>
          <w:rFonts w:cstheme="minorHAnsi"/>
        </w:rPr>
        <w:t xml:space="preserve">. </w:t>
      </w:r>
    </w:p>
    <w:p w:rsidR="00C42976" w:rsidRPr="00213C8C" w:rsidRDefault="0026715A" w:rsidP="00A21360">
      <w:pPr>
        <w:spacing w:after="0"/>
        <w:rPr>
          <w:rFonts w:cstheme="minorHAnsi"/>
        </w:rPr>
      </w:pPr>
      <w:r>
        <w:rPr>
          <w:rFonts w:cstheme="minorHAnsi"/>
          <w:noProof/>
          <w:lang w:eastAsia="pl-PL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4447540</wp:posOffset>
            </wp:positionH>
            <wp:positionV relativeFrom="paragraph">
              <wp:posOffset>1278890</wp:posOffset>
            </wp:positionV>
            <wp:extent cx="1353185" cy="2013585"/>
            <wp:effectExtent l="0" t="0" r="0" b="5715"/>
            <wp:wrapSquare wrapText="bothSides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Lock-jaw_2857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3185" cy="2013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328A" w:rsidRPr="00213C8C">
        <w:rPr>
          <w:rFonts w:cstheme="minorHAnsi"/>
        </w:rPr>
        <w:t>Skurcze mięśni mimicznych twarzy powodują charakterystyczny uśmiech (</w:t>
      </w:r>
      <w:proofErr w:type="spellStart"/>
      <w:r w:rsidR="00F9328A" w:rsidRPr="00213C8C">
        <w:rPr>
          <w:rFonts w:cstheme="minorHAnsi"/>
        </w:rPr>
        <w:t>risus</w:t>
      </w:r>
      <w:proofErr w:type="spellEnd"/>
      <w:r w:rsidR="00F9328A" w:rsidRPr="00213C8C">
        <w:rPr>
          <w:rFonts w:cstheme="minorHAnsi"/>
        </w:rPr>
        <w:t xml:space="preserve"> </w:t>
      </w:r>
      <w:proofErr w:type="spellStart"/>
      <w:r w:rsidR="00F9328A" w:rsidRPr="00213C8C">
        <w:rPr>
          <w:rFonts w:cstheme="minorHAnsi"/>
        </w:rPr>
        <w:t>sardonicus</w:t>
      </w:r>
      <w:proofErr w:type="spellEnd"/>
      <w:r w:rsidR="00F9328A" w:rsidRPr="00213C8C">
        <w:rPr>
          <w:rFonts w:cstheme="minorHAnsi"/>
        </w:rPr>
        <w:t xml:space="preserve">). </w:t>
      </w:r>
      <w:r w:rsidR="0074751A" w:rsidRPr="00213C8C">
        <w:rPr>
          <w:rFonts w:cstheme="minorHAnsi"/>
        </w:rPr>
        <w:t>Okresowo występują napady silniejszych, bardzo bolesnych skurczów (prężenia), które mogą również obejmować mięśnie oddechowe powodując duszność</w:t>
      </w:r>
      <w:r w:rsidR="00841BD4" w:rsidRPr="00213C8C">
        <w:rPr>
          <w:rFonts w:cstheme="minorHAnsi"/>
        </w:rPr>
        <w:t>. Charakterystyczne jest to, że napady te mogą być wywoływane przez lekki dotyk albo słabe bodźce wzrokowe lub słuchowe</w:t>
      </w:r>
      <w:r w:rsidR="0074751A" w:rsidRPr="00213C8C">
        <w:rPr>
          <w:rFonts w:cstheme="minorHAnsi"/>
        </w:rPr>
        <w:t>.</w:t>
      </w:r>
      <w:r w:rsidR="00841BD4" w:rsidRPr="00213C8C">
        <w:rPr>
          <w:rFonts w:cstheme="minorHAnsi"/>
        </w:rPr>
        <w:t xml:space="preserve"> Sztywność i skurcze mięśni oddechowych, krtaniowych i brzusznych, mogą powodować niewydolność oddechową i prowadzić do śmierci. Innymi powikłaniami są złamania związane ze skurczami mięśni oraz zachłystowe zapalenie płuc.</w:t>
      </w:r>
      <w:r w:rsidR="000B7FFE" w:rsidRPr="00213C8C">
        <w:rPr>
          <w:rFonts w:eastAsia="Times New Roman" w:cstheme="minorHAnsi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25F1B" w:rsidRPr="00213C8C" w:rsidRDefault="00425F1B" w:rsidP="00A21360">
      <w:pPr>
        <w:spacing w:after="0"/>
        <w:rPr>
          <w:rFonts w:cstheme="minorHAnsi"/>
        </w:rPr>
      </w:pPr>
    </w:p>
    <w:p w:rsidR="000B7FFE" w:rsidRDefault="000B7FFE" w:rsidP="00A21360">
      <w:pPr>
        <w:spacing w:after="0"/>
        <w:rPr>
          <w:rFonts w:cstheme="minorHAnsi"/>
        </w:rPr>
      </w:pPr>
    </w:p>
    <w:p w:rsidR="0026715A" w:rsidRDefault="0026715A" w:rsidP="00A21360">
      <w:pPr>
        <w:spacing w:after="0"/>
        <w:rPr>
          <w:rFonts w:cstheme="minorHAnsi"/>
        </w:rPr>
      </w:pPr>
    </w:p>
    <w:p w:rsidR="0026715A" w:rsidRPr="00213C8C" w:rsidRDefault="0026715A" w:rsidP="00A21360">
      <w:pPr>
        <w:spacing w:after="0"/>
        <w:rPr>
          <w:rFonts w:cstheme="minorHAnsi"/>
        </w:rPr>
      </w:pPr>
    </w:p>
    <w:p w:rsidR="000B7FFE" w:rsidRPr="00213C8C" w:rsidRDefault="000B7FFE" w:rsidP="00A21360">
      <w:pPr>
        <w:spacing w:after="0"/>
        <w:rPr>
          <w:rFonts w:cstheme="minorHAnsi"/>
        </w:rPr>
      </w:pPr>
    </w:p>
    <w:p w:rsidR="000B7FFE" w:rsidRPr="00213C8C" w:rsidRDefault="000B7FFE" w:rsidP="000B7FFE">
      <w:pPr>
        <w:spacing w:after="0"/>
        <w:ind w:left="2832" w:firstLine="708"/>
        <w:rPr>
          <w:rFonts w:cstheme="minorHAnsi"/>
        </w:rPr>
      </w:pPr>
      <w:r w:rsidRPr="00213C8C">
        <w:rPr>
          <w:rFonts w:cstheme="minorHAnsi"/>
          <w:b/>
        </w:rPr>
        <w:t xml:space="preserve">Rycina 2. </w:t>
      </w:r>
      <w:r w:rsidRPr="00213C8C">
        <w:rPr>
          <w:rFonts w:cstheme="minorHAnsi"/>
        </w:rPr>
        <w:t xml:space="preserve">Szczękościsk u pacjenta chorego na tężec. Skurcz mięśni mimicznych wywołuje charakterystyczny wyraz twarzy, tzw. </w:t>
      </w:r>
      <w:proofErr w:type="spellStart"/>
      <w:r w:rsidRPr="00213C8C">
        <w:rPr>
          <w:rFonts w:cstheme="minorHAnsi"/>
          <w:i/>
        </w:rPr>
        <w:t>risus</w:t>
      </w:r>
      <w:proofErr w:type="spellEnd"/>
      <w:r w:rsidRPr="00213C8C">
        <w:rPr>
          <w:rFonts w:cstheme="minorHAnsi"/>
          <w:i/>
        </w:rPr>
        <w:t xml:space="preserve"> </w:t>
      </w:r>
      <w:proofErr w:type="spellStart"/>
      <w:r w:rsidRPr="00213C8C">
        <w:rPr>
          <w:rFonts w:cstheme="minorHAnsi"/>
          <w:i/>
        </w:rPr>
        <w:t>sardonicus</w:t>
      </w:r>
      <w:proofErr w:type="spellEnd"/>
      <w:r w:rsidR="00331B83" w:rsidRPr="00213C8C">
        <w:rPr>
          <w:rFonts w:cstheme="minorHAnsi"/>
        </w:rPr>
        <w:t>. Źródło: Public Health Image Library (PHIL), CDC.</w:t>
      </w:r>
    </w:p>
    <w:p w:rsidR="00331B83" w:rsidRPr="00213C8C" w:rsidRDefault="0026715A" w:rsidP="00A21360">
      <w:pPr>
        <w:spacing w:after="0"/>
        <w:rPr>
          <w:rFonts w:cstheme="minorHAnsi"/>
        </w:rPr>
      </w:pPr>
      <w:r>
        <w:rPr>
          <w:rFonts w:cstheme="minorHAnsi"/>
          <w:noProof/>
          <w:lang w:eastAsia="pl-PL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-321945</wp:posOffset>
            </wp:positionH>
            <wp:positionV relativeFrom="paragraph">
              <wp:posOffset>168910</wp:posOffset>
            </wp:positionV>
            <wp:extent cx="2984500" cy="1989455"/>
            <wp:effectExtent l="0" t="0" r="6350" b="0"/>
            <wp:wrapSquare wrapText="bothSides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tetanus-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500" cy="198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1B83" w:rsidRPr="00213C8C" w:rsidRDefault="00331B83" w:rsidP="00A21360">
      <w:pPr>
        <w:spacing w:after="0"/>
        <w:rPr>
          <w:rFonts w:cstheme="minorHAnsi"/>
        </w:rPr>
      </w:pPr>
    </w:p>
    <w:p w:rsidR="00331B83" w:rsidRPr="00213C8C" w:rsidRDefault="00331B83" w:rsidP="00A21360">
      <w:pPr>
        <w:spacing w:after="0"/>
        <w:rPr>
          <w:rFonts w:cstheme="minorHAnsi"/>
        </w:rPr>
      </w:pPr>
    </w:p>
    <w:p w:rsidR="00331B83" w:rsidRPr="00213C8C" w:rsidRDefault="00331B83" w:rsidP="00A21360">
      <w:pPr>
        <w:spacing w:after="0"/>
        <w:rPr>
          <w:rFonts w:cstheme="minorHAnsi"/>
        </w:rPr>
      </w:pPr>
    </w:p>
    <w:p w:rsidR="00331B83" w:rsidRDefault="00331B83" w:rsidP="00A21360">
      <w:pPr>
        <w:spacing w:after="0"/>
        <w:rPr>
          <w:rFonts w:cstheme="minorHAnsi"/>
        </w:rPr>
      </w:pPr>
    </w:p>
    <w:p w:rsidR="0026715A" w:rsidRDefault="0026715A" w:rsidP="00A21360">
      <w:pPr>
        <w:spacing w:after="0"/>
        <w:rPr>
          <w:rFonts w:cstheme="minorHAnsi"/>
        </w:rPr>
      </w:pPr>
    </w:p>
    <w:p w:rsidR="0026715A" w:rsidRDefault="0026715A" w:rsidP="00A21360">
      <w:pPr>
        <w:spacing w:after="0"/>
        <w:rPr>
          <w:rFonts w:cstheme="minorHAnsi"/>
        </w:rPr>
      </w:pPr>
    </w:p>
    <w:p w:rsidR="00331B83" w:rsidRPr="00213C8C" w:rsidRDefault="00331B83" w:rsidP="00A21360">
      <w:pPr>
        <w:spacing w:after="0"/>
        <w:rPr>
          <w:rFonts w:cstheme="minorHAnsi"/>
        </w:rPr>
      </w:pPr>
      <w:r w:rsidRPr="00213C8C">
        <w:rPr>
          <w:rFonts w:cstheme="minorHAnsi"/>
          <w:b/>
        </w:rPr>
        <w:t xml:space="preserve">Rycina 3. </w:t>
      </w:r>
      <w:r w:rsidRPr="00213C8C">
        <w:rPr>
          <w:rFonts w:cstheme="minorHAnsi"/>
        </w:rPr>
        <w:t>Tężec uogólniony u osoby dorosłej. Zwraca uwagę łukowate ułożenie ciała spowodowane silnym skurczem mięśni pleców. Źródło: Public Health Image Library (PHIL), CDC.</w:t>
      </w:r>
    </w:p>
    <w:p w:rsidR="00331B83" w:rsidRPr="00213C8C" w:rsidRDefault="00331B83" w:rsidP="00A21360">
      <w:pPr>
        <w:spacing w:after="0"/>
        <w:rPr>
          <w:rFonts w:cstheme="minorHAnsi"/>
        </w:rPr>
      </w:pPr>
    </w:p>
    <w:p w:rsidR="00331B83" w:rsidRPr="00213C8C" w:rsidRDefault="00331B83" w:rsidP="00A21360">
      <w:pPr>
        <w:spacing w:after="0"/>
        <w:rPr>
          <w:rFonts w:cstheme="minorHAnsi"/>
        </w:rPr>
      </w:pPr>
    </w:p>
    <w:p w:rsidR="00425F1B" w:rsidRDefault="00425F1B" w:rsidP="00A21360">
      <w:pPr>
        <w:spacing w:after="0"/>
        <w:rPr>
          <w:rFonts w:cstheme="minorHAnsi"/>
        </w:rPr>
      </w:pPr>
      <w:r w:rsidRPr="00213C8C">
        <w:rPr>
          <w:rFonts w:cstheme="minorHAnsi"/>
        </w:rPr>
        <w:t xml:space="preserve">Uogólniona postać tężca u nowonarodzonych dzieci jest określana jako tężec noworodków. Objawy kliniczne odpowiadają obrazowi tężca uogólnionego. Zwykle pierwszym obserwowanym objawem jest niemożność ssania. </w:t>
      </w:r>
      <w:r w:rsidR="00B00CE8" w:rsidRPr="00213C8C">
        <w:rPr>
          <w:rFonts w:cstheme="minorHAnsi"/>
        </w:rPr>
        <w:t>Najczęstszą przyczyną jest zanieczyszczenie kikuta pępowiny zarodnikami laseczki tężca, co pozostaje w związku warunkami, w jakich odbywa się poród i z zaniedbaniami higienicznymi ze strony osób asystujących przy porodzie. W szczególności dotyczy to  przecinania, podwiązywania i opatrywania pępowiny.</w:t>
      </w:r>
      <w:r w:rsidR="00B00CE8">
        <w:rPr>
          <w:rFonts w:cstheme="minorHAnsi"/>
        </w:rPr>
        <w:t xml:space="preserve"> Niska higiena przy porodzie może również prowadzić do tężca okołoporodowego u matki.</w:t>
      </w:r>
    </w:p>
    <w:p w:rsidR="00E71A93" w:rsidRPr="00213C8C" w:rsidRDefault="006B2E5E" w:rsidP="00A21360">
      <w:pPr>
        <w:spacing w:after="0"/>
        <w:rPr>
          <w:rFonts w:cstheme="minorHAnsi"/>
        </w:rPr>
      </w:pPr>
      <w:r>
        <w:rPr>
          <w:rFonts w:cstheme="minorHAnsi"/>
          <w:b/>
          <w:noProof/>
          <w:lang w:eastAsia="pl-PL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76200</wp:posOffset>
            </wp:positionV>
            <wp:extent cx="3215640" cy="2128520"/>
            <wp:effectExtent l="0" t="0" r="3810" b="5080"/>
            <wp:wrapSquare wrapText="bothSides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6374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5640" cy="212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5F1B" w:rsidRPr="00213C8C" w:rsidRDefault="00425F1B" w:rsidP="00A21360">
      <w:pPr>
        <w:spacing w:after="0"/>
        <w:rPr>
          <w:rFonts w:cstheme="minorHAnsi"/>
        </w:rPr>
      </w:pPr>
    </w:p>
    <w:p w:rsidR="000B7FFE" w:rsidRPr="00213C8C" w:rsidRDefault="000B7FFE" w:rsidP="00A21360">
      <w:pPr>
        <w:spacing w:after="0"/>
        <w:rPr>
          <w:rFonts w:cstheme="minorHAnsi"/>
        </w:rPr>
      </w:pPr>
    </w:p>
    <w:p w:rsidR="000433FA" w:rsidRPr="00213C8C" w:rsidRDefault="000433FA" w:rsidP="00A21360">
      <w:pPr>
        <w:spacing w:after="0"/>
        <w:rPr>
          <w:rFonts w:cstheme="minorHAnsi"/>
          <w:b/>
        </w:rPr>
      </w:pPr>
    </w:p>
    <w:p w:rsidR="00331B83" w:rsidRDefault="00331B83" w:rsidP="00A21360">
      <w:pPr>
        <w:spacing w:after="0"/>
        <w:rPr>
          <w:rFonts w:cstheme="minorHAnsi"/>
          <w:b/>
        </w:rPr>
      </w:pPr>
    </w:p>
    <w:p w:rsidR="00213C8C" w:rsidRDefault="00213C8C" w:rsidP="00A21360">
      <w:pPr>
        <w:spacing w:after="0"/>
        <w:rPr>
          <w:rFonts w:cstheme="minorHAnsi"/>
          <w:b/>
        </w:rPr>
      </w:pPr>
    </w:p>
    <w:p w:rsidR="006B2E5E" w:rsidRPr="00213C8C" w:rsidRDefault="006B2E5E" w:rsidP="00A21360">
      <w:pPr>
        <w:spacing w:after="0"/>
        <w:rPr>
          <w:rFonts w:cstheme="minorHAnsi"/>
          <w:b/>
        </w:rPr>
      </w:pPr>
    </w:p>
    <w:p w:rsidR="000433FA" w:rsidRPr="00213C8C" w:rsidRDefault="000433FA" w:rsidP="00A21360">
      <w:pPr>
        <w:spacing w:after="0"/>
        <w:rPr>
          <w:rFonts w:cstheme="minorHAnsi"/>
        </w:rPr>
      </w:pPr>
      <w:r w:rsidRPr="00213C8C">
        <w:rPr>
          <w:rFonts w:cstheme="minorHAnsi"/>
          <w:b/>
        </w:rPr>
        <w:t xml:space="preserve">Rycina </w:t>
      </w:r>
      <w:r w:rsidR="00331B83" w:rsidRPr="00213C8C">
        <w:rPr>
          <w:rFonts w:cstheme="minorHAnsi"/>
          <w:b/>
        </w:rPr>
        <w:t>4</w:t>
      </w:r>
      <w:r w:rsidRPr="00213C8C">
        <w:rPr>
          <w:rFonts w:cstheme="minorHAnsi"/>
          <w:b/>
        </w:rPr>
        <w:t xml:space="preserve">. </w:t>
      </w:r>
      <w:r w:rsidRPr="00213C8C">
        <w:rPr>
          <w:rFonts w:cstheme="minorHAnsi"/>
        </w:rPr>
        <w:t>Noworodek chorujący na tężec noworodków. Widoczna jest sztywność i ułożenie ciała charakterystyczne dla tej choroby.</w:t>
      </w:r>
    </w:p>
    <w:p w:rsidR="000433FA" w:rsidRDefault="000433FA" w:rsidP="00A21360">
      <w:pPr>
        <w:spacing w:after="0"/>
        <w:rPr>
          <w:rFonts w:cstheme="minorHAnsi"/>
        </w:rPr>
      </w:pPr>
    </w:p>
    <w:p w:rsidR="004D5810" w:rsidRPr="00213C8C" w:rsidRDefault="004D5810" w:rsidP="00A21360">
      <w:pPr>
        <w:spacing w:after="0"/>
        <w:rPr>
          <w:rFonts w:cstheme="minorHAnsi"/>
        </w:rPr>
      </w:pPr>
    </w:p>
    <w:p w:rsidR="001B20DF" w:rsidRPr="00213C8C" w:rsidRDefault="001B20DF" w:rsidP="00A21360">
      <w:pPr>
        <w:spacing w:after="0"/>
        <w:rPr>
          <w:rFonts w:cstheme="minorHAnsi"/>
        </w:rPr>
      </w:pPr>
      <w:r w:rsidRPr="00213C8C">
        <w:rPr>
          <w:rFonts w:cstheme="minorHAnsi"/>
        </w:rPr>
        <w:t>Rzadko występuje miejscowa forma tężca  ograniczona do okolicy miejsca występowania przetrwalników. W lekkich przypadkach objawia się ona słabością zajętej kończyny, a w ciężkich bolesnymi skurczami o ograniczonej lokalizacji. Odmiana lokalnego tężca może dotyczyć mięśni unerwionych przez nerwy czaszkowe, szczególnie nerw twarzowy</w:t>
      </w:r>
      <w:r w:rsidR="000B7FFE" w:rsidRPr="00213C8C">
        <w:rPr>
          <w:rFonts w:cstheme="minorHAnsi"/>
        </w:rPr>
        <w:t>.</w:t>
      </w:r>
    </w:p>
    <w:p w:rsidR="00823CE0" w:rsidRDefault="00213C8C" w:rsidP="00823CE0">
      <w:pPr>
        <w:spacing w:after="0"/>
        <w:rPr>
          <w:rFonts w:cstheme="minorHAnsi"/>
        </w:rPr>
      </w:pPr>
      <w:r>
        <w:rPr>
          <w:rFonts w:cstheme="minorHAnsi"/>
        </w:rPr>
        <w:t>Okres wylęgania wynosi typowo od 3 do 21 dni. Przeciętnie 10 dni.</w:t>
      </w:r>
      <w:r w:rsidR="002E449F">
        <w:rPr>
          <w:rFonts w:cstheme="minorHAnsi"/>
        </w:rPr>
        <w:t xml:space="preserve"> Rokowanie jest gorsze w przypadku krótszego okresu inkubacji.</w:t>
      </w:r>
      <w:r w:rsidR="00823CE0" w:rsidRPr="00823CE0">
        <w:rPr>
          <w:rFonts w:cstheme="minorHAnsi"/>
        </w:rPr>
        <w:t xml:space="preserve"> </w:t>
      </w:r>
    </w:p>
    <w:p w:rsidR="00823CE0" w:rsidRDefault="00823CE0" w:rsidP="00823CE0">
      <w:pPr>
        <w:spacing w:after="0"/>
        <w:rPr>
          <w:rFonts w:cstheme="minorHAnsi"/>
        </w:rPr>
      </w:pPr>
      <w:r w:rsidRPr="00213C8C">
        <w:rPr>
          <w:rFonts w:cstheme="minorHAnsi"/>
        </w:rPr>
        <w:t>Tężec cechuje się wysoką śmiertelnością sięgającą 30 – 50%.</w:t>
      </w:r>
      <w:r>
        <w:rPr>
          <w:rFonts w:cstheme="minorHAnsi"/>
        </w:rPr>
        <w:t xml:space="preserve"> Objawy tężca wymagają natychmiastowej hospitalizacji, chirurgicznego opracowania rany, podania antytoksyny, antybiotykoterapii, i leków zwiotczających. Może być ko</w:t>
      </w:r>
      <w:r w:rsidR="005F55A5">
        <w:rPr>
          <w:rFonts w:cstheme="minorHAnsi"/>
        </w:rPr>
        <w:t>nieczna aparatura podtrzymująca</w:t>
      </w:r>
      <w:r>
        <w:rPr>
          <w:rFonts w:cstheme="minorHAnsi"/>
        </w:rPr>
        <w:t xml:space="preserve"> oddychanie.</w:t>
      </w:r>
    </w:p>
    <w:p w:rsidR="001B20DF" w:rsidRPr="00213C8C" w:rsidRDefault="001B20DF" w:rsidP="00A21360">
      <w:pPr>
        <w:spacing w:after="0"/>
        <w:rPr>
          <w:rFonts w:cstheme="minorHAnsi"/>
        </w:rPr>
      </w:pPr>
    </w:p>
    <w:p w:rsidR="00A21360" w:rsidRPr="00213C8C" w:rsidRDefault="0003604F" w:rsidP="00737A26">
      <w:pPr>
        <w:spacing w:after="0"/>
        <w:rPr>
          <w:rFonts w:cstheme="minorHAnsi"/>
        </w:rPr>
      </w:pPr>
      <w:r w:rsidRPr="00213C8C">
        <w:rPr>
          <w:rFonts w:cstheme="minorHAnsi"/>
          <w:b/>
        </w:rPr>
        <w:t>Transmisja:</w:t>
      </w:r>
      <w:r w:rsidRPr="00213C8C">
        <w:rPr>
          <w:rFonts w:cstheme="minorHAnsi"/>
        </w:rPr>
        <w:t xml:space="preserve"> </w:t>
      </w:r>
      <w:r w:rsidR="005260AF">
        <w:rPr>
          <w:rFonts w:cstheme="minorHAnsi"/>
        </w:rPr>
        <w:t>Przetrwalniki laseczki</w:t>
      </w:r>
      <w:r w:rsidR="00497368" w:rsidRPr="00213C8C">
        <w:rPr>
          <w:rFonts w:cstheme="minorHAnsi"/>
        </w:rPr>
        <w:t xml:space="preserve"> tężca (</w:t>
      </w:r>
      <w:r w:rsidR="00497368" w:rsidRPr="00213C8C">
        <w:rPr>
          <w:rFonts w:cstheme="minorHAnsi"/>
          <w:i/>
        </w:rPr>
        <w:t xml:space="preserve">Clostridium </w:t>
      </w:r>
      <w:proofErr w:type="spellStart"/>
      <w:r w:rsidR="00497368" w:rsidRPr="00213C8C">
        <w:rPr>
          <w:rFonts w:cstheme="minorHAnsi"/>
          <w:i/>
        </w:rPr>
        <w:t>tetani</w:t>
      </w:r>
      <w:proofErr w:type="spellEnd"/>
      <w:r w:rsidR="00497368" w:rsidRPr="00213C8C">
        <w:rPr>
          <w:rFonts w:cstheme="minorHAnsi"/>
        </w:rPr>
        <w:t>)</w:t>
      </w:r>
      <w:r w:rsidR="005260AF">
        <w:rPr>
          <w:rFonts w:cstheme="minorHAnsi"/>
        </w:rPr>
        <w:t>, bakterii beztlenowej, przedostają</w:t>
      </w:r>
      <w:r w:rsidR="00036516" w:rsidRPr="00213C8C">
        <w:rPr>
          <w:rFonts w:cstheme="minorHAnsi"/>
        </w:rPr>
        <w:t xml:space="preserve"> się do organizmu ze środowiska (skażona gleba) </w:t>
      </w:r>
      <w:r w:rsidR="00823CE0">
        <w:rPr>
          <w:rFonts w:cstheme="minorHAnsi"/>
        </w:rPr>
        <w:t>po</w:t>
      </w:r>
      <w:r w:rsidR="00036516" w:rsidRPr="00213C8C">
        <w:rPr>
          <w:rFonts w:cstheme="minorHAnsi"/>
        </w:rPr>
        <w:t xml:space="preserve">przez zanieczyszczenie ran. </w:t>
      </w:r>
      <w:r w:rsidR="00823CE0">
        <w:rPr>
          <w:rFonts w:cstheme="minorHAnsi"/>
        </w:rPr>
        <w:t>Większe ryzyko zakażenia niosą rany głębokie, z uszkodzeniem i martwicą tkanek</w:t>
      </w:r>
      <w:r w:rsidR="005260AF">
        <w:rPr>
          <w:rFonts w:cstheme="minorHAnsi"/>
        </w:rPr>
        <w:t>, z uwagi na panujące w ranie warunki beztlenowe konieczne do rozwoju bakterii</w:t>
      </w:r>
      <w:r w:rsidR="00823CE0">
        <w:rPr>
          <w:rFonts w:cstheme="minorHAnsi"/>
        </w:rPr>
        <w:t>. Zachorowania mogą wystąpić jednakże także w kontekście ran</w:t>
      </w:r>
      <w:r w:rsidR="00EC368B">
        <w:rPr>
          <w:rFonts w:cstheme="minorHAnsi"/>
        </w:rPr>
        <w:t xml:space="preserve"> powierzchownych</w:t>
      </w:r>
      <w:r w:rsidR="00823CE0">
        <w:rPr>
          <w:rFonts w:cstheme="minorHAnsi"/>
        </w:rPr>
        <w:t xml:space="preserve"> i otarć. </w:t>
      </w:r>
      <w:r w:rsidR="00036516" w:rsidRPr="00213C8C">
        <w:rPr>
          <w:rFonts w:cstheme="minorHAnsi"/>
        </w:rPr>
        <w:t>Rzadziej zdarzają się zachorowania pooperacyjne, zwłaszcza po operacjach przewodu pokarmowego. W niektórych krajach istotna drogą transmisji jest przyjmowanie narkotyków w iniekcjach, szczególnie</w:t>
      </w:r>
      <w:r w:rsidR="005260AF">
        <w:rPr>
          <w:rFonts w:cstheme="minorHAnsi"/>
        </w:rPr>
        <w:t xml:space="preserve"> w iniekcjach</w:t>
      </w:r>
      <w:r w:rsidR="00036516" w:rsidRPr="00213C8C">
        <w:rPr>
          <w:rFonts w:cstheme="minorHAnsi"/>
        </w:rPr>
        <w:t xml:space="preserve"> domięśniowych.</w:t>
      </w:r>
    </w:p>
    <w:p w:rsidR="00021121" w:rsidRPr="00213C8C" w:rsidRDefault="00021121" w:rsidP="00737A26">
      <w:pPr>
        <w:spacing w:after="0"/>
        <w:rPr>
          <w:rFonts w:cstheme="minorHAnsi"/>
        </w:rPr>
      </w:pPr>
    </w:p>
    <w:p w:rsidR="00F1087E" w:rsidRPr="00213C8C" w:rsidRDefault="0003604F" w:rsidP="00737A26">
      <w:pPr>
        <w:spacing w:after="0"/>
        <w:rPr>
          <w:rFonts w:cstheme="minorHAnsi"/>
        </w:rPr>
      </w:pPr>
      <w:r w:rsidRPr="00213C8C">
        <w:rPr>
          <w:rFonts w:cstheme="minorHAnsi"/>
          <w:b/>
        </w:rPr>
        <w:t>Zapobieganie:</w:t>
      </w:r>
      <w:r w:rsidR="00C42976" w:rsidRPr="00213C8C">
        <w:rPr>
          <w:rFonts w:cstheme="minorHAnsi"/>
          <w:b/>
        </w:rPr>
        <w:t xml:space="preserve"> </w:t>
      </w:r>
      <w:r w:rsidR="00CA58BE" w:rsidRPr="00213C8C">
        <w:rPr>
          <w:rFonts w:cstheme="minorHAnsi"/>
        </w:rPr>
        <w:t>Kluczowym sposobem zapobiegania tężcowi są szczepienia (uodpornienie czynne). W Polsce zgodnie z kalendarzem szczepień podaje się trzy pierwsze dawki szczepienia podstawowego w pierwszych 6 miesiącach życia, dawkę uzupełniającą w drugim roku życia</w:t>
      </w:r>
      <w:r w:rsidR="002635A9">
        <w:rPr>
          <w:rFonts w:cstheme="minorHAnsi"/>
        </w:rPr>
        <w:t>,</w:t>
      </w:r>
      <w:r w:rsidR="00CA58BE" w:rsidRPr="00213C8C">
        <w:rPr>
          <w:rFonts w:cstheme="minorHAnsi"/>
        </w:rPr>
        <w:t xml:space="preserve"> </w:t>
      </w:r>
      <w:r w:rsidR="002635A9">
        <w:rPr>
          <w:rFonts w:cstheme="minorHAnsi"/>
        </w:rPr>
        <w:t>a</w:t>
      </w:r>
      <w:r w:rsidR="00564316">
        <w:rPr>
          <w:rFonts w:cstheme="minorHAnsi"/>
        </w:rPr>
        <w:t xml:space="preserve"> dawki przypominające w wieku</w:t>
      </w:r>
      <w:r w:rsidR="00CA58BE" w:rsidRPr="00213C8C">
        <w:rPr>
          <w:rFonts w:cstheme="minorHAnsi"/>
        </w:rPr>
        <w:t xml:space="preserve"> 6 lat, 14 lat i 19 lat. Odporność poszczepienna nie jest trwała</w:t>
      </w:r>
      <w:r w:rsidR="00D76146">
        <w:rPr>
          <w:rFonts w:cstheme="minorHAnsi"/>
        </w:rPr>
        <w:t>,</w:t>
      </w:r>
      <w:r w:rsidR="00CA58BE" w:rsidRPr="00213C8C">
        <w:rPr>
          <w:rFonts w:cstheme="minorHAnsi"/>
        </w:rPr>
        <w:t xml:space="preserve"> stąd osobom dorosłym</w:t>
      </w:r>
      <w:r w:rsidR="00D76146">
        <w:rPr>
          <w:rFonts w:cstheme="minorHAnsi"/>
        </w:rPr>
        <w:t>,</w:t>
      </w:r>
      <w:r w:rsidR="00CA58BE" w:rsidRPr="00213C8C">
        <w:rPr>
          <w:rFonts w:cstheme="minorHAnsi"/>
        </w:rPr>
        <w:t xml:space="preserve"> zwłaszcza narażonym na kontakt z glebą</w:t>
      </w:r>
      <w:r w:rsidR="00D76146">
        <w:rPr>
          <w:rFonts w:cstheme="minorHAnsi"/>
        </w:rPr>
        <w:t>,</w:t>
      </w:r>
      <w:r w:rsidR="00CA58BE" w:rsidRPr="00213C8C">
        <w:rPr>
          <w:rFonts w:cstheme="minorHAnsi"/>
        </w:rPr>
        <w:t xml:space="preserve"> zaleca się </w:t>
      </w:r>
      <w:proofErr w:type="spellStart"/>
      <w:r w:rsidR="00CA58BE" w:rsidRPr="00213C8C">
        <w:rPr>
          <w:rFonts w:cstheme="minorHAnsi"/>
        </w:rPr>
        <w:t>doszczepianie</w:t>
      </w:r>
      <w:proofErr w:type="spellEnd"/>
      <w:r w:rsidR="00CA58BE" w:rsidRPr="00213C8C">
        <w:rPr>
          <w:rFonts w:cstheme="minorHAnsi"/>
        </w:rPr>
        <w:t xml:space="preserve"> w odstępach 10-letnich. W </w:t>
      </w:r>
      <w:r w:rsidR="00CA58BE" w:rsidRPr="00213C8C">
        <w:rPr>
          <w:rFonts w:cstheme="minorHAnsi"/>
        </w:rPr>
        <w:lastRenderedPageBreak/>
        <w:t>momencie ekspozycji (zanieczyszczona rana)</w:t>
      </w:r>
      <w:r w:rsidR="00D76146">
        <w:rPr>
          <w:rFonts w:cstheme="minorHAnsi"/>
        </w:rPr>
        <w:t>,</w:t>
      </w:r>
      <w:r w:rsidR="00CA58BE" w:rsidRPr="00213C8C">
        <w:rPr>
          <w:rFonts w:cstheme="minorHAnsi"/>
        </w:rPr>
        <w:t xml:space="preserve"> w zależności od rodzaju rany i wcześniejszej historii szczepień</w:t>
      </w:r>
      <w:r w:rsidR="00D76146">
        <w:rPr>
          <w:rFonts w:cstheme="minorHAnsi"/>
        </w:rPr>
        <w:t>,</w:t>
      </w:r>
      <w:r w:rsidR="00CA58BE" w:rsidRPr="00213C8C">
        <w:rPr>
          <w:rFonts w:cstheme="minorHAnsi"/>
        </w:rPr>
        <w:t xml:space="preserve"> może być wskazana dawka przypominająca szczepienia i antytoksyna tężcowa (uodpornienie bierne).</w:t>
      </w:r>
    </w:p>
    <w:p w:rsidR="00CA58BE" w:rsidRPr="00213C8C" w:rsidRDefault="00D76146" w:rsidP="00737A26">
      <w:pPr>
        <w:spacing w:after="0"/>
        <w:rPr>
          <w:rFonts w:cstheme="minorHAnsi"/>
        </w:rPr>
      </w:pPr>
      <w:r>
        <w:rPr>
          <w:rFonts w:cstheme="minorHAnsi"/>
        </w:rPr>
        <w:t>Istotne jest również zachowanie odpowiedniej higieny pracy (odzież ochronna) przy wykonywaniu czynności w kontakcie z glebą, czy nieczystościami.</w:t>
      </w:r>
    </w:p>
    <w:p w:rsidR="00497368" w:rsidRPr="00213C8C" w:rsidRDefault="00497368" w:rsidP="00737A26">
      <w:pPr>
        <w:spacing w:after="0"/>
        <w:rPr>
          <w:rFonts w:cstheme="minorHAnsi"/>
        </w:rPr>
      </w:pPr>
    </w:p>
    <w:p w:rsidR="00497368" w:rsidRPr="00823CE0" w:rsidRDefault="00497368" w:rsidP="00737A26">
      <w:pPr>
        <w:spacing w:after="0"/>
        <w:rPr>
          <w:rFonts w:cstheme="minorHAnsi"/>
        </w:rPr>
      </w:pPr>
      <w:r w:rsidRPr="00213C8C">
        <w:rPr>
          <w:rFonts w:cstheme="minorHAnsi"/>
          <w:b/>
        </w:rPr>
        <w:t>Diagnostyka:</w:t>
      </w:r>
      <w:r w:rsidR="00823CE0">
        <w:rPr>
          <w:rFonts w:cstheme="minorHAnsi"/>
          <w:b/>
        </w:rPr>
        <w:t xml:space="preserve"> </w:t>
      </w:r>
      <w:r w:rsidR="00823CE0">
        <w:rPr>
          <w:rFonts w:cstheme="minorHAnsi"/>
        </w:rPr>
        <w:t xml:space="preserve">Tężec jest </w:t>
      </w:r>
      <w:r w:rsidR="00F929E1">
        <w:rPr>
          <w:rFonts w:cstheme="minorHAnsi"/>
        </w:rPr>
        <w:t xml:space="preserve">w zasadzie </w:t>
      </w:r>
      <w:r w:rsidR="00823CE0">
        <w:rPr>
          <w:rFonts w:cstheme="minorHAnsi"/>
        </w:rPr>
        <w:t xml:space="preserve">rozpoznawany na podstawie objawów. </w:t>
      </w:r>
      <w:r w:rsidR="000A5DCD">
        <w:rPr>
          <w:rFonts w:cstheme="minorHAnsi"/>
        </w:rPr>
        <w:t xml:space="preserve">Do celów epidemiologicznych stosuje się badania </w:t>
      </w:r>
      <w:r w:rsidR="00F929E1">
        <w:rPr>
          <w:rFonts w:cstheme="minorHAnsi"/>
        </w:rPr>
        <w:t xml:space="preserve">potwierdzające obecność laseczek tężca w materiale pobranym z rany. Z uwagi na to, że nie wszystkie szczepy produkują toksynę, w drugim kroku przeprowadza się test na </w:t>
      </w:r>
      <w:proofErr w:type="spellStart"/>
      <w:r w:rsidR="00F929E1">
        <w:rPr>
          <w:rFonts w:cstheme="minorHAnsi"/>
        </w:rPr>
        <w:t>toksynogenność</w:t>
      </w:r>
      <w:proofErr w:type="spellEnd"/>
      <w:r w:rsidR="00F929E1">
        <w:rPr>
          <w:rFonts w:cstheme="minorHAnsi"/>
        </w:rPr>
        <w:t xml:space="preserve"> </w:t>
      </w:r>
      <w:proofErr w:type="spellStart"/>
      <w:r w:rsidR="00F929E1">
        <w:rPr>
          <w:rFonts w:cstheme="minorHAnsi"/>
        </w:rPr>
        <w:t>izolatów</w:t>
      </w:r>
      <w:proofErr w:type="spellEnd"/>
      <w:r w:rsidR="00F929E1">
        <w:rPr>
          <w:rFonts w:cstheme="minorHAnsi"/>
        </w:rPr>
        <w:t xml:space="preserve"> (badanie biologiczne na myszach).</w:t>
      </w:r>
    </w:p>
    <w:p w:rsidR="00497368" w:rsidRDefault="00F929E1" w:rsidP="00737A26">
      <w:pPr>
        <w:spacing w:after="0"/>
        <w:rPr>
          <w:rFonts w:cstheme="minorHAnsi"/>
        </w:rPr>
      </w:pPr>
      <w:r>
        <w:rPr>
          <w:rFonts w:cstheme="minorHAnsi"/>
        </w:rPr>
        <w:t>Serodiagnostyka (poszukiwanie toksyny lub przeciwciał przeciwko toksynie tężcowej</w:t>
      </w:r>
      <w:r w:rsidR="002635A9">
        <w:rPr>
          <w:rFonts w:cstheme="minorHAnsi"/>
        </w:rPr>
        <w:t xml:space="preserve"> w surowicy krwi</w:t>
      </w:r>
      <w:r>
        <w:rPr>
          <w:rFonts w:cstheme="minorHAnsi"/>
        </w:rPr>
        <w:t>) jest mniej użyteczna.</w:t>
      </w:r>
    </w:p>
    <w:p w:rsidR="003C0938" w:rsidRPr="00213C8C" w:rsidRDefault="003C0938" w:rsidP="00737A26">
      <w:pPr>
        <w:spacing w:after="0"/>
        <w:rPr>
          <w:rFonts w:cstheme="minorHAnsi"/>
        </w:rPr>
      </w:pPr>
    </w:p>
    <w:p w:rsidR="003811C8" w:rsidRDefault="002635A9" w:rsidP="00A21360">
      <w:pPr>
        <w:spacing w:after="0"/>
        <w:rPr>
          <w:rFonts w:cstheme="minorHAnsi"/>
          <w:b/>
        </w:rPr>
      </w:pPr>
      <w:r>
        <w:rPr>
          <w:rFonts w:cstheme="minorHAnsi"/>
          <w:b/>
        </w:rPr>
        <w:t xml:space="preserve">Występowanie: </w:t>
      </w:r>
    </w:p>
    <w:p w:rsidR="00564316" w:rsidRDefault="00564316" w:rsidP="00A21360">
      <w:pPr>
        <w:spacing w:after="0"/>
        <w:rPr>
          <w:rFonts w:cstheme="minorHAnsi"/>
        </w:rPr>
      </w:pPr>
      <w:r>
        <w:rPr>
          <w:rFonts w:cstheme="minorHAnsi"/>
        </w:rPr>
        <w:t>Laseczki tężca w formie przetrwalnikowej bytują w glebie</w:t>
      </w:r>
      <w:r w:rsidR="00BD5350">
        <w:rPr>
          <w:rFonts w:cstheme="minorHAnsi"/>
        </w:rPr>
        <w:t xml:space="preserve"> i są powszechne na całym świecie</w:t>
      </w:r>
      <w:r>
        <w:rPr>
          <w:rFonts w:cstheme="minorHAnsi"/>
        </w:rPr>
        <w:t xml:space="preserve">. </w:t>
      </w:r>
      <w:r w:rsidR="002635A9">
        <w:rPr>
          <w:rFonts w:cstheme="minorHAnsi"/>
        </w:rPr>
        <w:t xml:space="preserve">Rezerwuarem </w:t>
      </w:r>
      <w:r w:rsidR="002635A9" w:rsidRPr="002635A9">
        <w:rPr>
          <w:rFonts w:cstheme="minorHAnsi"/>
          <w:i/>
        </w:rPr>
        <w:t xml:space="preserve">C. </w:t>
      </w:r>
      <w:proofErr w:type="spellStart"/>
      <w:r w:rsidR="002635A9" w:rsidRPr="002635A9">
        <w:rPr>
          <w:rFonts w:cstheme="minorHAnsi"/>
          <w:i/>
        </w:rPr>
        <w:t>tetani</w:t>
      </w:r>
      <w:proofErr w:type="spellEnd"/>
      <w:r w:rsidR="002635A9">
        <w:rPr>
          <w:rFonts w:cstheme="minorHAnsi"/>
        </w:rPr>
        <w:t xml:space="preserve"> </w:t>
      </w:r>
      <w:r w:rsidR="00BD5350">
        <w:rPr>
          <w:rFonts w:cstheme="minorHAnsi"/>
        </w:rPr>
        <w:t xml:space="preserve">są zwierzęta, u których bakterie mogą znajdować się w przewodzie pokarmowym. </w:t>
      </w:r>
      <w:r w:rsidR="003A3A8E">
        <w:rPr>
          <w:rFonts w:cstheme="minorHAnsi"/>
        </w:rPr>
        <w:t xml:space="preserve">Jednakże w przypadku zanieczyszczenia rany, u zwierząt również występują objawy tężca podobne do </w:t>
      </w:r>
      <w:r w:rsidR="001E7AFE">
        <w:rPr>
          <w:rFonts w:cstheme="minorHAnsi"/>
        </w:rPr>
        <w:t xml:space="preserve">objawów występujących u </w:t>
      </w:r>
      <w:r w:rsidR="003A3A8E">
        <w:rPr>
          <w:rFonts w:cstheme="minorHAnsi"/>
        </w:rPr>
        <w:t xml:space="preserve">człowieka. </w:t>
      </w:r>
    </w:p>
    <w:p w:rsidR="004D5810" w:rsidRPr="00564316" w:rsidRDefault="004D5810" w:rsidP="00A21360">
      <w:pPr>
        <w:spacing w:after="0"/>
        <w:rPr>
          <w:rFonts w:cstheme="minorHAnsi"/>
        </w:rPr>
      </w:pPr>
    </w:p>
    <w:p w:rsidR="00A21360" w:rsidRDefault="0003604F" w:rsidP="00A21360">
      <w:pPr>
        <w:spacing w:after="0"/>
        <w:rPr>
          <w:rFonts w:cstheme="minorHAnsi"/>
        </w:rPr>
      </w:pPr>
      <w:r w:rsidRPr="00213C8C">
        <w:rPr>
          <w:rFonts w:cstheme="minorHAnsi"/>
          <w:b/>
        </w:rPr>
        <w:t xml:space="preserve">Świat: </w:t>
      </w:r>
      <w:r w:rsidR="003811C8">
        <w:rPr>
          <w:rFonts w:cstheme="minorHAnsi"/>
        </w:rPr>
        <w:t xml:space="preserve">Tężec stanowi poważy problem zdrowotny w krajach rozwijających się Afryki, Azji i Ameryki Południowej. </w:t>
      </w:r>
      <w:r w:rsidR="0039290B">
        <w:rPr>
          <w:rFonts w:cstheme="minorHAnsi"/>
        </w:rPr>
        <w:t xml:space="preserve">Choć sytuacja w tym zakresie uległa w ostatnich latach istotnej poprawie, Światowa Organizacja Zdrowia szacuje, że w 2017 r. w skali ogólnoświatowej około 31 tysięcy noworodków zmarło z powodu tężca. </w:t>
      </w:r>
    </w:p>
    <w:p w:rsidR="007308E8" w:rsidRPr="003811C8" w:rsidRDefault="007308E8" w:rsidP="00A21360">
      <w:pPr>
        <w:spacing w:after="0"/>
        <w:rPr>
          <w:rFonts w:cstheme="minorHAnsi"/>
        </w:rPr>
      </w:pPr>
    </w:p>
    <w:p w:rsidR="0003604F" w:rsidRPr="00213C8C" w:rsidRDefault="0013305F" w:rsidP="00737A26">
      <w:pPr>
        <w:spacing w:after="0"/>
        <w:rPr>
          <w:rFonts w:cstheme="minorHAnsi"/>
        </w:rPr>
      </w:pPr>
      <w:r>
        <w:rPr>
          <w:rFonts w:cstheme="minorHAnsi"/>
          <w:b/>
          <w:noProof/>
          <w:lang w:eastAsia="pl-PL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81915</wp:posOffset>
            </wp:positionV>
            <wp:extent cx="3920490" cy="2771775"/>
            <wp:effectExtent l="0" t="0" r="3810" b="9525"/>
            <wp:wrapSquare wrapText="bothSides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etanus_coverage_2018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049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845A0" w:rsidRDefault="00E845A0" w:rsidP="00737A26">
      <w:pPr>
        <w:spacing w:after="0"/>
        <w:rPr>
          <w:rFonts w:cstheme="minorHAnsi"/>
          <w:b/>
        </w:rPr>
      </w:pPr>
    </w:p>
    <w:p w:rsidR="00E845A0" w:rsidRDefault="00E845A0" w:rsidP="00737A26">
      <w:pPr>
        <w:spacing w:after="0"/>
        <w:rPr>
          <w:rFonts w:cstheme="minorHAnsi"/>
          <w:b/>
        </w:rPr>
      </w:pPr>
    </w:p>
    <w:p w:rsidR="00E845A0" w:rsidRDefault="00E845A0" w:rsidP="00737A26">
      <w:pPr>
        <w:spacing w:after="0"/>
        <w:rPr>
          <w:rFonts w:cstheme="minorHAnsi"/>
          <w:b/>
        </w:rPr>
      </w:pPr>
    </w:p>
    <w:p w:rsidR="00E845A0" w:rsidRDefault="00E845A0" w:rsidP="00737A26">
      <w:pPr>
        <w:spacing w:after="0"/>
        <w:rPr>
          <w:rFonts w:cstheme="minorHAnsi"/>
          <w:b/>
        </w:rPr>
      </w:pPr>
    </w:p>
    <w:p w:rsidR="00E845A0" w:rsidRDefault="00E845A0" w:rsidP="00737A26">
      <w:pPr>
        <w:spacing w:after="0"/>
        <w:rPr>
          <w:rFonts w:cstheme="minorHAnsi"/>
          <w:b/>
        </w:rPr>
      </w:pPr>
    </w:p>
    <w:p w:rsidR="00E845A0" w:rsidRDefault="00E845A0" w:rsidP="00737A26">
      <w:pPr>
        <w:spacing w:after="0"/>
        <w:rPr>
          <w:rFonts w:cstheme="minorHAnsi"/>
          <w:b/>
        </w:rPr>
      </w:pPr>
    </w:p>
    <w:p w:rsidR="00E845A0" w:rsidRDefault="00E845A0" w:rsidP="00737A26">
      <w:pPr>
        <w:spacing w:after="0"/>
        <w:rPr>
          <w:rFonts w:cstheme="minorHAnsi"/>
          <w:b/>
        </w:rPr>
      </w:pPr>
    </w:p>
    <w:p w:rsidR="00E845A0" w:rsidRPr="00E845A0" w:rsidRDefault="00E845A0" w:rsidP="00737A26">
      <w:pPr>
        <w:spacing w:after="0"/>
        <w:rPr>
          <w:rFonts w:cstheme="minorHAnsi"/>
        </w:rPr>
      </w:pPr>
      <w:r>
        <w:rPr>
          <w:rFonts w:cstheme="minorHAnsi"/>
          <w:b/>
        </w:rPr>
        <w:t xml:space="preserve">Rycina 5. </w:t>
      </w:r>
      <w:r>
        <w:rPr>
          <w:rFonts w:cstheme="minorHAnsi"/>
        </w:rPr>
        <w:t>Pokrycie podstawowym cyklem szczepień (3 pierwsze dawki) i występowanie tężca na świecie. Źródło: Światowa Organizacja Zdrowia</w:t>
      </w:r>
    </w:p>
    <w:p w:rsidR="00E845A0" w:rsidRDefault="00E845A0" w:rsidP="00737A26">
      <w:pPr>
        <w:spacing w:after="0"/>
        <w:rPr>
          <w:rFonts w:cstheme="minorHAnsi"/>
          <w:b/>
        </w:rPr>
      </w:pPr>
    </w:p>
    <w:p w:rsidR="00E845A0" w:rsidRDefault="00E845A0" w:rsidP="00737A26">
      <w:pPr>
        <w:spacing w:after="0"/>
        <w:rPr>
          <w:rFonts w:cstheme="minorHAnsi"/>
          <w:b/>
        </w:rPr>
      </w:pPr>
    </w:p>
    <w:p w:rsidR="00E71A93" w:rsidRDefault="0003604F" w:rsidP="00E71A93">
      <w:pPr>
        <w:spacing w:after="0"/>
        <w:rPr>
          <w:rFonts w:cstheme="minorHAnsi"/>
        </w:rPr>
      </w:pPr>
      <w:r w:rsidRPr="00213C8C">
        <w:rPr>
          <w:rFonts w:cstheme="minorHAnsi"/>
          <w:b/>
        </w:rPr>
        <w:t>Polska:</w:t>
      </w:r>
      <w:r w:rsidR="00C42976" w:rsidRPr="00213C8C">
        <w:rPr>
          <w:rFonts w:cstheme="minorHAnsi"/>
          <w:b/>
        </w:rPr>
        <w:t xml:space="preserve"> </w:t>
      </w:r>
      <w:r w:rsidR="00C61079">
        <w:rPr>
          <w:rFonts w:cstheme="minorHAnsi"/>
        </w:rPr>
        <w:t xml:space="preserve">Przed wprowadzeniem w 1954 r. powszechnych szczepień ochronnych na tężec chorowało rocznie ponad 400 osób, z których 300 umierało. </w:t>
      </w:r>
      <w:r w:rsidR="00F30916">
        <w:rPr>
          <w:rFonts w:cstheme="minorHAnsi"/>
        </w:rPr>
        <w:t>W</w:t>
      </w:r>
      <w:r w:rsidR="00A21360" w:rsidRPr="00213C8C">
        <w:rPr>
          <w:rFonts w:cstheme="minorHAnsi"/>
        </w:rPr>
        <w:t xml:space="preserve"> latach 2000 – 2017 liczba </w:t>
      </w:r>
      <w:proofErr w:type="spellStart"/>
      <w:r w:rsidR="00A21360" w:rsidRPr="00213C8C">
        <w:rPr>
          <w:rFonts w:cstheme="minorHAnsi"/>
        </w:rPr>
        <w:t>zachorowań</w:t>
      </w:r>
      <w:proofErr w:type="spellEnd"/>
      <w:r w:rsidR="00A21360" w:rsidRPr="00213C8C">
        <w:rPr>
          <w:rFonts w:cstheme="minorHAnsi"/>
        </w:rPr>
        <w:t xml:space="preserve"> na tężec w Polsce nie przekracza</w:t>
      </w:r>
      <w:r w:rsidR="00F30916">
        <w:rPr>
          <w:rFonts w:cstheme="minorHAnsi"/>
        </w:rPr>
        <w:t>ła</w:t>
      </w:r>
      <w:r w:rsidR="00A21360" w:rsidRPr="00213C8C">
        <w:rPr>
          <w:rFonts w:cstheme="minorHAnsi"/>
        </w:rPr>
        <w:t xml:space="preserve"> 20 przypadków rocznie. Co ważne od 1984 r. nie odnotowano wystąpienia tężca noworodków.</w:t>
      </w:r>
      <w:r w:rsidR="00046BB3">
        <w:rPr>
          <w:rFonts w:cstheme="minorHAnsi"/>
        </w:rPr>
        <w:t xml:space="preserve"> Obecnie chorują głównie osoby starsze, od dawna nieszczepione.</w:t>
      </w:r>
    </w:p>
    <w:p w:rsidR="00E71A93" w:rsidRDefault="00E71A93" w:rsidP="00E71A93">
      <w:pPr>
        <w:spacing w:after="0"/>
        <w:rPr>
          <w:rFonts w:cstheme="minorHAnsi"/>
        </w:rPr>
      </w:pPr>
    </w:p>
    <w:p w:rsidR="00497368" w:rsidRDefault="00AA056B" w:rsidP="00E71A93">
      <w:pPr>
        <w:spacing w:after="0"/>
        <w:rPr>
          <w:rFonts w:cstheme="minorHAnsi"/>
        </w:rPr>
      </w:pPr>
      <w:r w:rsidRPr="00213C8C">
        <w:rPr>
          <w:rFonts w:cstheme="minorHAnsi"/>
          <w:b/>
        </w:rPr>
        <w:lastRenderedPageBreak/>
        <w:t>Na</w:t>
      </w:r>
      <w:r w:rsidR="00497368" w:rsidRPr="00213C8C">
        <w:rPr>
          <w:rFonts w:cstheme="minorHAnsi"/>
          <w:b/>
        </w:rPr>
        <w:t>d</w:t>
      </w:r>
      <w:r w:rsidRPr="00213C8C">
        <w:rPr>
          <w:rFonts w:cstheme="minorHAnsi"/>
          <w:b/>
        </w:rPr>
        <w:t>z</w:t>
      </w:r>
      <w:r w:rsidR="00497368" w:rsidRPr="00213C8C">
        <w:rPr>
          <w:rFonts w:cstheme="minorHAnsi"/>
          <w:b/>
        </w:rPr>
        <w:t>ór</w:t>
      </w:r>
      <w:r w:rsidRPr="00213C8C">
        <w:rPr>
          <w:rFonts w:cstheme="minorHAnsi"/>
          <w:b/>
        </w:rPr>
        <w:t xml:space="preserve"> epidemiologiczny</w:t>
      </w:r>
      <w:r w:rsidR="00497368" w:rsidRPr="00213C8C">
        <w:rPr>
          <w:rFonts w:cstheme="minorHAnsi"/>
          <w:b/>
        </w:rPr>
        <w:t xml:space="preserve"> nad tężcem w Polsce</w:t>
      </w:r>
      <w:r w:rsidR="00497368" w:rsidRPr="00213C8C">
        <w:rPr>
          <w:rFonts w:cstheme="minorHAnsi"/>
        </w:rPr>
        <w:t>:</w:t>
      </w:r>
      <w:r w:rsidRPr="00213C8C">
        <w:rPr>
          <w:rFonts w:cstheme="minorHAnsi"/>
        </w:rPr>
        <w:t xml:space="preserve"> Tężec jest jedną z chorób, która została objęta nadzorem już w latach powojennych. Obecnie </w:t>
      </w:r>
      <w:r w:rsidR="00334C1B" w:rsidRPr="00213C8C">
        <w:rPr>
          <w:rFonts w:cstheme="minorHAnsi"/>
        </w:rPr>
        <w:t xml:space="preserve">obowiązkowo </w:t>
      </w:r>
      <w:r w:rsidRPr="00213C8C">
        <w:rPr>
          <w:rFonts w:cstheme="minorHAnsi"/>
        </w:rPr>
        <w:t xml:space="preserve">zgłaszane są zachorowania rozpoznane przez lekarzy. </w:t>
      </w:r>
      <w:r w:rsidR="00334C1B" w:rsidRPr="00213C8C">
        <w:rPr>
          <w:rFonts w:cstheme="minorHAnsi"/>
        </w:rPr>
        <w:t>Diagnoza jest stawiana najczęściej w oparciu o charakterystyczny obraz kliniczny. Niemniej przyjęta definicja przypadku do celów nadzoru epidemiologicznego, w celu potwierdzenia przypadku wymaga stwierdzenia obecności bakterii w ranie, która stała się miejscem zakażenia, lub potwierdzenie obecności toksyny we krwi.</w:t>
      </w:r>
      <w:r w:rsidR="00F30916">
        <w:rPr>
          <w:rFonts w:cstheme="minorHAnsi"/>
        </w:rPr>
        <w:t xml:space="preserve"> Definicja przypadku została wdrożona w 2009 r. Wcześniejsze przypadki nie były klasyfikowane.</w:t>
      </w:r>
    </w:p>
    <w:p w:rsidR="00497368" w:rsidRDefault="00F30916">
      <w:pPr>
        <w:rPr>
          <w:rFonts w:cstheme="minorHAnsi"/>
        </w:rPr>
      </w:pPr>
      <w:r>
        <w:rPr>
          <w:rFonts w:cstheme="minorHAnsi"/>
        </w:rPr>
        <w:t xml:space="preserve">Informacja o </w:t>
      </w:r>
      <w:proofErr w:type="spellStart"/>
      <w:r>
        <w:rPr>
          <w:rFonts w:cstheme="minorHAnsi"/>
        </w:rPr>
        <w:t>zachorowaniach</w:t>
      </w:r>
      <w:proofErr w:type="spellEnd"/>
      <w:r>
        <w:rPr>
          <w:rFonts w:cstheme="minorHAnsi"/>
        </w:rPr>
        <w:t xml:space="preserve"> na tężec była zbierana w formie raportów zbiorczych MZ-56 oraz indywidualnych raportów o przypadku przygotowywanych na podstawie wywiadu epidemiologicznego przeprowadzanego z pacjentami. Podobnie, jak w przypadku innych chorób dane są zbierane przez pracowników Powiatowych Stacji Sanitarno-Epidemiologicznych. </w:t>
      </w:r>
      <w:r w:rsidR="00E71A93">
        <w:rPr>
          <w:rFonts w:cstheme="minorHAnsi"/>
        </w:rPr>
        <w:t xml:space="preserve">Dla tężca dane indywidualne w udostępnionym </w:t>
      </w:r>
      <w:r w:rsidR="00087271">
        <w:rPr>
          <w:rFonts w:cstheme="minorHAnsi"/>
        </w:rPr>
        <w:t>okresie czasu</w:t>
      </w:r>
      <w:r w:rsidR="00E71A93">
        <w:rPr>
          <w:rFonts w:cstheme="minorHAnsi"/>
        </w:rPr>
        <w:t xml:space="preserve"> są zgodne z danymi z raportów zbiorczych.</w:t>
      </w:r>
      <w:r>
        <w:rPr>
          <w:rFonts w:cstheme="minorHAnsi"/>
        </w:rPr>
        <w:t xml:space="preserve"> </w:t>
      </w:r>
    </w:p>
    <w:p w:rsidR="00E71A93" w:rsidRDefault="00E71A93">
      <w:pPr>
        <w:rPr>
          <w:rFonts w:cstheme="minorHAnsi"/>
        </w:rPr>
      </w:pPr>
    </w:p>
    <w:p w:rsidR="00E71A93" w:rsidRPr="00213C8C" w:rsidRDefault="00E71A93">
      <w:pPr>
        <w:rPr>
          <w:rFonts w:cstheme="minorHAnsi"/>
        </w:rPr>
      </w:pPr>
      <w:r w:rsidRPr="00213C8C">
        <w:rPr>
          <w:rFonts w:cstheme="minorHAnsi"/>
          <w:b/>
          <w:noProof/>
          <w:lang w:eastAsia="pl-PL"/>
        </w:rPr>
        <mc:AlternateContent>
          <mc:Choice Requires="wps">
            <w:drawing>
              <wp:anchor distT="91440" distB="91440" distL="114300" distR="114300" simplePos="0" relativeHeight="251659264" behindDoc="0" locked="0" layoutInCell="1" allowOverlap="1">
                <wp:simplePos x="0" y="0"/>
                <wp:positionH relativeFrom="page">
                  <wp:posOffset>937895</wp:posOffset>
                </wp:positionH>
                <wp:positionV relativeFrom="paragraph">
                  <wp:posOffset>567791</wp:posOffset>
                </wp:positionV>
                <wp:extent cx="5807075" cy="1403985"/>
                <wp:effectExtent l="0" t="0" r="0" b="0"/>
                <wp:wrapTopAndBottom/>
                <wp:docPr id="30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707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34C1B" w:rsidRDefault="00547896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rPr>
                                <w:i/>
                                <w:iCs/>
                                <w:color w:val="4F81BD" w:themeColor="accen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4F81BD" w:themeColor="accent1"/>
                                <w:sz w:val="24"/>
                                <w:szCs w:val="24"/>
                              </w:rPr>
                              <w:t xml:space="preserve">Tężec </w:t>
                            </w:r>
                            <w:r w:rsidR="00334C1B">
                              <w:rPr>
                                <w:i/>
                                <w:iCs/>
                                <w:color w:val="4F81BD" w:themeColor="accent1"/>
                                <w:sz w:val="24"/>
                                <w:szCs w:val="24"/>
                              </w:rPr>
                              <w:t>Definicja przypadku</w:t>
                            </w:r>
                          </w:p>
                          <w:p w:rsidR="00334C1B" w:rsidRPr="0030183C" w:rsidRDefault="00547896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rPr>
                                <w:b/>
                                <w:iCs/>
                              </w:rPr>
                            </w:pPr>
                            <w:r w:rsidRPr="0030183C">
                              <w:rPr>
                                <w:b/>
                                <w:iCs/>
                              </w:rPr>
                              <w:t>Kryteria kliniczne</w:t>
                            </w:r>
                          </w:p>
                          <w:p w:rsidR="00547896" w:rsidRDefault="00547896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rPr>
                                <w:iCs/>
                              </w:rPr>
                            </w:pPr>
                            <w:r>
                              <w:rPr>
                                <w:iCs/>
                              </w:rPr>
                              <w:t xml:space="preserve">Każda osoba, która spełnia co najmniej </w:t>
                            </w:r>
                            <w:r w:rsidR="003D0525">
                              <w:rPr>
                                <w:iCs/>
                              </w:rPr>
                              <w:t>jedno</w:t>
                            </w:r>
                            <w:r>
                              <w:rPr>
                                <w:iCs/>
                              </w:rPr>
                              <w:t xml:space="preserve"> z następujących trzech kryteriów:</w:t>
                            </w:r>
                          </w:p>
                          <w:p w:rsidR="00547896" w:rsidRDefault="00547896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rPr>
                                <w:iCs/>
                              </w:rPr>
                            </w:pPr>
                            <w:r>
                              <w:rPr>
                                <w:iCs/>
                              </w:rPr>
                              <w:t>- bole</w:t>
                            </w:r>
                            <w:r w:rsidR="003D0525">
                              <w:rPr>
                                <w:iCs/>
                              </w:rPr>
                              <w:t>s</w:t>
                            </w:r>
                            <w:r>
                              <w:rPr>
                                <w:iCs/>
                              </w:rPr>
                              <w:t>ne skurcze mięśniowe, najczęściej mięśni żuchwy i karku, powodujące skurcze mięśni twarzy, szczękościsk i tzw. uśmiech sardoniczny (</w:t>
                            </w:r>
                            <w:proofErr w:type="spellStart"/>
                            <w:r w:rsidRPr="00547896">
                              <w:rPr>
                                <w:i/>
                                <w:iCs/>
                              </w:rPr>
                              <w:t>risus</w:t>
                            </w:r>
                            <w:proofErr w:type="spellEnd"/>
                            <w:r w:rsidRPr="00547896">
                              <w:rPr>
                                <w:i/>
                                <w:iCs/>
                              </w:rPr>
                              <w:t xml:space="preserve"> </w:t>
                            </w:r>
                            <w:proofErr w:type="spellStart"/>
                            <w:r w:rsidRPr="00547896">
                              <w:rPr>
                                <w:i/>
                                <w:iCs/>
                              </w:rPr>
                              <w:t>sardonicus</w:t>
                            </w:r>
                            <w:proofErr w:type="spellEnd"/>
                            <w:r>
                              <w:rPr>
                                <w:iCs/>
                              </w:rPr>
                              <w:t>);</w:t>
                            </w:r>
                          </w:p>
                          <w:p w:rsidR="00547896" w:rsidRDefault="00547896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rPr>
                                <w:iCs/>
                              </w:rPr>
                            </w:pPr>
                            <w:r>
                              <w:rPr>
                                <w:iCs/>
                              </w:rPr>
                              <w:t>- bole</w:t>
                            </w:r>
                            <w:r w:rsidR="003D0525">
                              <w:rPr>
                                <w:iCs/>
                              </w:rPr>
                              <w:t>s</w:t>
                            </w:r>
                            <w:r>
                              <w:rPr>
                                <w:iCs/>
                              </w:rPr>
                              <w:t>ne skurcze mięśni tułowia;</w:t>
                            </w:r>
                          </w:p>
                          <w:p w:rsidR="00547896" w:rsidRDefault="00547896" w:rsidP="00547896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rPr>
                                <w:iCs/>
                              </w:rPr>
                            </w:pPr>
                            <w:r>
                              <w:rPr>
                                <w:iCs/>
                              </w:rPr>
                              <w:t>- uogólnione skurcze, często występujące łukowate wygięcie ciała (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</w:rPr>
                              <w:t>opistotonus</w:t>
                            </w:r>
                            <w:proofErr w:type="spellEnd"/>
                            <w:r>
                              <w:rPr>
                                <w:iCs/>
                              </w:rPr>
                              <w:t>).</w:t>
                            </w:r>
                          </w:p>
                          <w:p w:rsidR="00547896" w:rsidRDefault="00547896" w:rsidP="00547896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rPr>
                                <w:iCs/>
                              </w:rPr>
                            </w:pPr>
                          </w:p>
                          <w:p w:rsidR="00547896" w:rsidRPr="0030183C" w:rsidRDefault="00547896" w:rsidP="00547896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rPr>
                                <w:b/>
                                <w:iCs/>
                              </w:rPr>
                            </w:pPr>
                            <w:r w:rsidRPr="0030183C">
                              <w:rPr>
                                <w:b/>
                                <w:iCs/>
                              </w:rPr>
                              <w:t>Kryteria laboratoryjne</w:t>
                            </w:r>
                          </w:p>
                          <w:p w:rsidR="00547896" w:rsidRDefault="00547896" w:rsidP="00547896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rPr>
                                <w:iCs/>
                              </w:rPr>
                            </w:pPr>
                            <w:r>
                              <w:rPr>
                                <w:iCs/>
                              </w:rPr>
                              <w:t>Co najmniej jedno z następujących dwóch kryteriów:</w:t>
                            </w:r>
                          </w:p>
                          <w:p w:rsidR="00547896" w:rsidRDefault="00547896" w:rsidP="00547896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rPr>
                                <w:iCs/>
                              </w:rPr>
                            </w:pPr>
                            <w:r>
                              <w:rPr>
                                <w:iCs/>
                              </w:rPr>
                              <w:t xml:space="preserve">- izolacja </w:t>
                            </w:r>
                            <w:r w:rsidR="000A5DCD">
                              <w:rPr>
                                <w:i/>
                                <w:iCs/>
                              </w:rPr>
                              <w:t>Clo</w:t>
                            </w:r>
                            <w:r>
                              <w:rPr>
                                <w:i/>
                                <w:iCs/>
                              </w:rPr>
                              <w:t xml:space="preserve">stridium 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</w:rPr>
                              <w:t>tetani</w:t>
                            </w:r>
                            <w:proofErr w:type="spellEnd"/>
                            <w:r>
                              <w:rPr>
                                <w:iCs/>
                              </w:rPr>
                              <w:t xml:space="preserve"> z miejsca zakażenia,</w:t>
                            </w:r>
                          </w:p>
                          <w:p w:rsidR="00547896" w:rsidRDefault="00547896" w:rsidP="00547896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rPr>
                                <w:iCs/>
                              </w:rPr>
                            </w:pPr>
                            <w:r>
                              <w:rPr>
                                <w:iCs/>
                              </w:rPr>
                              <w:t>- wykazanie obecności toksyny tężcowej w surowicy krwi.</w:t>
                            </w:r>
                          </w:p>
                          <w:p w:rsidR="00547896" w:rsidRDefault="00547896" w:rsidP="00547896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rPr>
                                <w:iCs/>
                              </w:rPr>
                            </w:pPr>
                          </w:p>
                          <w:p w:rsidR="00547896" w:rsidRPr="0030183C" w:rsidRDefault="00547896" w:rsidP="00547896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rPr>
                                <w:b/>
                                <w:iCs/>
                              </w:rPr>
                            </w:pPr>
                            <w:r w:rsidRPr="0030183C">
                              <w:rPr>
                                <w:b/>
                                <w:iCs/>
                              </w:rPr>
                              <w:t>Kryteria epidemiologiczne</w:t>
                            </w:r>
                          </w:p>
                          <w:p w:rsidR="00547896" w:rsidRDefault="00547896" w:rsidP="00547896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rPr>
                                <w:iCs/>
                              </w:rPr>
                            </w:pPr>
                            <w:r>
                              <w:rPr>
                                <w:iCs/>
                              </w:rPr>
                              <w:t>Nie dotyczy.</w:t>
                            </w:r>
                          </w:p>
                          <w:p w:rsidR="00547896" w:rsidRDefault="00547896" w:rsidP="00547896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rPr>
                                <w:iCs/>
                              </w:rPr>
                            </w:pPr>
                          </w:p>
                          <w:p w:rsidR="0030183C" w:rsidRPr="0030183C" w:rsidRDefault="00547896" w:rsidP="0030183C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rPr>
                                <w:b/>
                                <w:iCs/>
                              </w:rPr>
                            </w:pPr>
                            <w:r w:rsidRPr="0030183C">
                              <w:rPr>
                                <w:b/>
                                <w:iCs/>
                              </w:rPr>
                              <w:t>Klasyfikacja przypadku</w:t>
                            </w:r>
                          </w:p>
                          <w:p w:rsidR="0030183C" w:rsidRDefault="00547896" w:rsidP="0030183C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rPr>
                                <w:iCs/>
                              </w:rPr>
                            </w:pPr>
                            <w:r w:rsidRPr="0030183C">
                              <w:rPr>
                                <w:iCs/>
                              </w:rPr>
                              <w:t>Przypadek możliwy</w:t>
                            </w:r>
                          </w:p>
                          <w:p w:rsidR="0030183C" w:rsidRDefault="00547896" w:rsidP="0030183C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ind w:firstLine="708"/>
                              <w:rPr>
                                <w:iCs/>
                              </w:rPr>
                            </w:pPr>
                            <w:r w:rsidRPr="0030183C">
                              <w:rPr>
                                <w:iCs/>
                              </w:rPr>
                              <w:t>Nie dotyczy</w:t>
                            </w:r>
                          </w:p>
                          <w:p w:rsidR="00547896" w:rsidRPr="0030183C" w:rsidRDefault="00547896" w:rsidP="0030183C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rPr>
                                <w:iCs/>
                              </w:rPr>
                            </w:pPr>
                            <w:r w:rsidRPr="0030183C">
                              <w:rPr>
                                <w:iCs/>
                              </w:rPr>
                              <w:t>Przypadek prawdopodobny</w:t>
                            </w:r>
                          </w:p>
                          <w:p w:rsidR="00547896" w:rsidRPr="0030183C" w:rsidRDefault="00547896" w:rsidP="0030183C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ind w:firstLine="708"/>
                              <w:rPr>
                                <w:iCs/>
                              </w:rPr>
                            </w:pPr>
                            <w:r w:rsidRPr="0030183C">
                              <w:rPr>
                                <w:iCs/>
                              </w:rPr>
                              <w:t>Każda osoba spełniające kryteria kliniczne</w:t>
                            </w:r>
                          </w:p>
                          <w:p w:rsidR="00547896" w:rsidRPr="0030183C" w:rsidRDefault="00547896" w:rsidP="0030183C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rPr>
                                <w:iCs/>
                              </w:rPr>
                            </w:pPr>
                            <w:r w:rsidRPr="0030183C">
                              <w:rPr>
                                <w:iCs/>
                              </w:rPr>
                              <w:t>Przypadek potwierdzony</w:t>
                            </w:r>
                          </w:p>
                          <w:p w:rsidR="00547896" w:rsidRPr="0030183C" w:rsidRDefault="00547896" w:rsidP="0030183C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ind w:firstLine="708"/>
                              <w:rPr>
                                <w:iCs/>
                              </w:rPr>
                            </w:pPr>
                            <w:r w:rsidRPr="0030183C">
                              <w:rPr>
                                <w:iCs/>
                              </w:rPr>
                              <w:t>Każda osoba spełniająca kryteria kliniczne i laboratoryjne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margin-left:73.85pt;margin-top:44.7pt;width:457.25pt;height:110.55pt;z-index:251659264;visibility:visible;mso-wrap-style:square;mso-width-percent:0;mso-height-percent:200;mso-wrap-distance-left:9pt;mso-wrap-distance-top:7.2pt;mso-wrap-distance-right:9pt;mso-wrap-distance-bottom:7.2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" filled="f" stroked="f">
                <v:textbox style="mso-fit-shape-to-text:t">
                  <w:txbxContent>
                    <w:p w:rsidR="00334C1B" w:rsidRDefault="00547896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rPr>
                          <w:i/>
                          <w:iCs/>
                          <w:color w:val="4F81BD" w:themeColor="accent1"/>
                          <w:sz w:val="24"/>
                          <w:szCs w:val="24"/>
                        </w:rPr>
                      </w:pPr>
                      <w:r>
                        <w:rPr>
                          <w:i/>
                          <w:iCs/>
                          <w:color w:val="4F81BD" w:themeColor="accent1"/>
                          <w:sz w:val="24"/>
                          <w:szCs w:val="24"/>
                        </w:rPr>
                        <w:t xml:space="preserve">Tężec </w:t>
                      </w:r>
                      <w:r w:rsidR="00334C1B">
                        <w:rPr>
                          <w:i/>
                          <w:iCs/>
                          <w:color w:val="4F81BD" w:themeColor="accent1"/>
                          <w:sz w:val="24"/>
                          <w:szCs w:val="24"/>
                        </w:rPr>
                        <w:t>Definicja przypadku</w:t>
                      </w:r>
                    </w:p>
                    <w:p w:rsidR="00334C1B" w:rsidRPr="0030183C" w:rsidRDefault="00547896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rPr>
                          <w:b/>
                          <w:iCs/>
                        </w:rPr>
                      </w:pPr>
                      <w:r w:rsidRPr="0030183C">
                        <w:rPr>
                          <w:b/>
                          <w:iCs/>
                        </w:rPr>
                        <w:t>Kryteria kliniczne</w:t>
                      </w:r>
                    </w:p>
                    <w:p w:rsidR="00547896" w:rsidRDefault="00547896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rPr>
                          <w:iCs/>
                        </w:rPr>
                      </w:pPr>
                      <w:r>
                        <w:rPr>
                          <w:iCs/>
                        </w:rPr>
                        <w:t xml:space="preserve">Każda osoba, która spełnia co najmniej </w:t>
                      </w:r>
                      <w:r w:rsidR="003D0525">
                        <w:rPr>
                          <w:iCs/>
                        </w:rPr>
                        <w:t>jedno</w:t>
                      </w:r>
                      <w:r>
                        <w:rPr>
                          <w:iCs/>
                        </w:rPr>
                        <w:t xml:space="preserve"> z następujących trzech kryteriów:</w:t>
                      </w:r>
                    </w:p>
                    <w:p w:rsidR="00547896" w:rsidRDefault="00547896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rPr>
                          <w:iCs/>
                        </w:rPr>
                      </w:pPr>
                      <w:r>
                        <w:rPr>
                          <w:iCs/>
                        </w:rPr>
                        <w:t>- bole</w:t>
                      </w:r>
                      <w:r w:rsidR="003D0525">
                        <w:rPr>
                          <w:iCs/>
                        </w:rPr>
                        <w:t>s</w:t>
                      </w:r>
                      <w:r>
                        <w:rPr>
                          <w:iCs/>
                        </w:rPr>
                        <w:t>ne skurcze mięśniowe, najczęściej mięśni żuchwy i karku, powodujące skurcze mięśni twarzy, szczękościsk i tzw. uśmiech sardoniczny (</w:t>
                      </w:r>
                      <w:proofErr w:type="spellStart"/>
                      <w:r w:rsidRPr="00547896">
                        <w:rPr>
                          <w:i/>
                          <w:iCs/>
                        </w:rPr>
                        <w:t>risus</w:t>
                      </w:r>
                      <w:proofErr w:type="spellEnd"/>
                      <w:r w:rsidRPr="00547896">
                        <w:rPr>
                          <w:i/>
                          <w:iCs/>
                        </w:rPr>
                        <w:t xml:space="preserve"> </w:t>
                      </w:r>
                      <w:proofErr w:type="spellStart"/>
                      <w:r w:rsidRPr="00547896">
                        <w:rPr>
                          <w:i/>
                          <w:iCs/>
                        </w:rPr>
                        <w:t>sardonicus</w:t>
                      </w:r>
                      <w:proofErr w:type="spellEnd"/>
                      <w:r>
                        <w:rPr>
                          <w:iCs/>
                        </w:rPr>
                        <w:t>);</w:t>
                      </w:r>
                    </w:p>
                    <w:p w:rsidR="00547896" w:rsidRDefault="00547896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rPr>
                          <w:iCs/>
                        </w:rPr>
                      </w:pPr>
                      <w:r>
                        <w:rPr>
                          <w:iCs/>
                        </w:rPr>
                        <w:t>- bole</w:t>
                      </w:r>
                      <w:r w:rsidR="003D0525">
                        <w:rPr>
                          <w:iCs/>
                        </w:rPr>
                        <w:t>s</w:t>
                      </w:r>
                      <w:r>
                        <w:rPr>
                          <w:iCs/>
                        </w:rPr>
                        <w:t>ne skurcze mięśni tułowia;</w:t>
                      </w:r>
                    </w:p>
                    <w:p w:rsidR="00547896" w:rsidRDefault="00547896" w:rsidP="00547896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rPr>
                          <w:iCs/>
                        </w:rPr>
                      </w:pPr>
                      <w:r>
                        <w:rPr>
                          <w:iCs/>
                        </w:rPr>
                        <w:t>- uogólnione skurcze, często występujące łukowate wygięcie ciała (</w:t>
                      </w:r>
                      <w:proofErr w:type="spellStart"/>
                      <w:r>
                        <w:rPr>
                          <w:i/>
                          <w:iCs/>
                        </w:rPr>
                        <w:t>opistotonus</w:t>
                      </w:r>
                      <w:proofErr w:type="spellEnd"/>
                      <w:r>
                        <w:rPr>
                          <w:iCs/>
                        </w:rPr>
                        <w:t>).</w:t>
                      </w:r>
                    </w:p>
                    <w:p w:rsidR="00547896" w:rsidRDefault="00547896" w:rsidP="00547896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rPr>
                          <w:iCs/>
                        </w:rPr>
                      </w:pPr>
                    </w:p>
                    <w:p w:rsidR="00547896" w:rsidRPr="0030183C" w:rsidRDefault="00547896" w:rsidP="00547896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rPr>
                          <w:b/>
                          <w:iCs/>
                        </w:rPr>
                      </w:pPr>
                      <w:r w:rsidRPr="0030183C">
                        <w:rPr>
                          <w:b/>
                          <w:iCs/>
                        </w:rPr>
                        <w:t>Kryteria laboratoryjne</w:t>
                      </w:r>
                    </w:p>
                    <w:p w:rsidR="00547896" w:rsidRDefault="00547896" w:rsidP="00547896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rPr>
                          <w:iCs/>
                        </w:rPr>
                      </w:pPr>
                      <w:r>
                        <w:rPr>
                          <w:iCs/>
                        </w:rPr>
                        <w:t>Co najmniej jedno z następujących dwóch kryteriów:</w:t>
                      </w:r>
                    </w:p>
                    <w:p w:rsidR="00547896" w:rsidRDefault="00547896" w:rsidP="00547896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rPr>
                          <w:iCs/>
                        </w:rPr>
                      </w:pPr>
                      <w:r>
                        <w:rPr>
                          <w:iCs/>
                        </w:rPr>
                        <w:t xml:space="preserve">- izolacja </w:t>
                      </w:r>
                      <w:r w:rsidR="000A5DCD">
                        <w:rPr>
                          <w:i/>
                          <w:iCs/>
                        </w:rPr>
                        <w:t>Clo</w:t>
                      </w:r>
                      <w:r>
                        <w:rPr>
                          <w:i/>
                          <w:iCs/>
                        </w:rPr>
                        <w:t xml:space="preserve">stridium </w:t>
                      </w:r>
                      <w:proofErr w:type="spellStart"/>
                      <w:r>
                        <w:rPr>
                          <w:i/>
                          <w:iCs/>
                        </w:rPr>
                        <w:t>tetani</w:t>
                      </w:r>
                      <w:proofErr w:type="spellEnd"/>
                      <w:r>
                        <w:rPr>
                          <w:iCs/>
                        </w:rPr>
                        <w:t xml:space="preserve"> z miejsca zakażenia,</w:t>
                      </w:r>
                    </w:p>
                    <w:p w:rsidR="00547896" w:rsidRDefault="00547896" w:rsidP="00547896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rPr>
                          <w:iCs/>
                        </w:rPr>
                      </w:pPr>
                      <w:r>
                        <w:rPr>
                          <w:iCs/>
                        </w:rPr>
                        <w:t>- wykazanie obecności toksyny tężcowej w surowicy krwi.</w:t>
                      </w:r>
                    </w:p>
                    <w:p w:rsidR="00547896" w:rsidRDefault="00547896" w:rsidP="00547896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rPr>
                          <w:iCs/>
                        </w:rPr>
                      </w:pPr>
                    </w:p>
                    <w:p w:rsidR="00547896" w:rsidRPr="0030183C" w:rsidRDefault="00547896" w:rsidP="00547896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rPr>
                          <w:b/>
                          <w:iCs/>
                        </w:rPr>
                      </w:pPr>
                      <w:r w:rsidRPr="0030183C">
                        <w:rPr>
                          <w:b/>
                          <w:iCs/>
                        </w:rPr>
                        <w:t>Kryteria epidemiologiczne</w:t>
                      </w:r>
                    </w:p>
                    <w:p w:rsidR="00547896" w:rsidRDefault="00547896" w:rsidP="00547896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rPr>
                          <w:iCs/>
                        </w:rPr>
                      </w:pPr>
                      <w:r>
                        <w:rPr>
                          <w:iCs/>
                        </w:rPr>
                        <w:t>Nie dotyczy.</w:t>
                      </w:r>
                    </w:p>
                    <w:p w:rsidR="00547896" w:rsidRDefault="00547896" w:rsidP="00547896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rPr>
                          <w:iCs/>
                        </w:rPr>
                      </w:pPr>
                    </w:p>
                    <w:p w:rsidR="0030183C" w:rsidRPr="0030183C" w:rsidRDefault="00547896" w:rsidP="0030183C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rPr>
                          <w:b/>
                          <w:iCs/>
                        </w:rPr>
                      </w:pPr>
                      <w:r w:rsidRPr="0030183C">
                        <w:rPr>
                          <w:b/>
                          <w:iCs/>
                        </w:rPr>
                        <w:t>Klasyfikacja przypadku</w:t>
                      </w:r>
                    </w:p>
                    <w:p w:rsidR="0030183C" w:rsidRDefault="00547896" w:rsidP="0030183C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rPr>
                          <w:iCs/>
                        </w:rPr>
                      </w:pPr>
                      <w:r w:rsidRPr="0030183C">
                        <w:rPr>
                          <w:iCs/>
                        </w:rPr>
                        <w:t>Przypadek możliwy</w:t>
                      </w:r>
                    </w:p>
                    <w:p w:rsidR="0030183C" w:rsidRDefault="00547896" w:rsidP="0030183C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ind w:firstLine="708"/>
                        <w:rPr>
                          <w:iCs/>
                        </w:rPr>
                      </w:pPr>
                      <w:r w:rsidRPr="0030183C">
                        <w:rPr>
                          <w:iCs/>
                        </w:rPr>
                        <w:t>Nie dotyczy</w:t>
                      </w:r>
                    </w:p>
                    <w:p w:rsidR="00547896" w:rsidRPr="0030183C" w:rsidRDefault="00547896" w:rsidP="0030183C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rPr>
                          <w:iCs/>
                        </w:rPr>
                      </w:pPr>
                      <w:r w:rsidRPr="0030183C">
                        <w:rPr>
                          <w:iCs/>
                        </w:rPr>
                        <w:t>Przypadek prawdopodobny</w:t>
                      </w:r>
                    </w:p>
                    <w:p w:rsidR="00547896" w:rsidRPr="0030183C" w:rsidRDefault="00547896" w:rsidP="0030183C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ind w:firstLine="708"/>
                        <w:rPr>
                          <w:iCs/>
                        </w:rPr>
                      </w:pPr>
                      <w:r w:rsidRPr="0030183C">
                        <w:rPr>
                          <w:iCs/>
                        </w:rPr>
                        <w:t>Każda osoba spełniające kryteria kliniczne</w:t>
                      </w:r>
                    </w:p>
                    <w:p w:rsidR="00547896" w:rsidRPr="0030183C" w:rsidRDefault="00547896" w:rsidP="0030183C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rPr>
                          <w:iCs/>
                        </w:rPr>
                      </w:pPr>
                      <w:r w:rsidRPr="0030183C">
                        <w:rPr>
                          <w:iCs/>
                        </w:rPr>
                        <w:t>Przypadek potwierdzony</w:t>
                      </w:r>
                    </w:p>
                    <w:p w:rsidR="00547896" w:rsidRPr="0030183C" w:rsidRDefault="00547896" w:rsidP="0030183C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ind w:firstLine="708"/>
                        <w:rPr>
                          <w:iCs/>
                        </w:rPr>
                      </w:pPr>
                      <w:r w:rsidRPr="0030183C">
                        <w:rPr>
                          <w:iCs/>
                        </w:rPr>
                        <w:t>Każda osoba spełniająca kryteria kliniczne i laboratoryjne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6D1F04" w:rsidRDefault="006D1F04">
      <w:pPr>
        <w:rPr>
          <w:rFonts w:cstheme="minorHAnsi"/>
        </w:rPr>
      </w:pPr>
    </w:p>
    <w:p w:rsidR="004D5810" w:rsidRPr="00213C8C" w:rsidRDefault="004D5810">
      <w:pPr>
        <w:rPr>
          <w:rFonts w:cstheme="minorHAnsi"/>
        </w:rPr>
      </w:pPr>
    </w:p>
    <w:p w:rsidR="00036516" w:rsidRPr="004D5810" w:rsidRDefault="00036516">
      <w:pPr>
        <w:rPr>
          <w:rFonts w:cstheme="minorHAnsi"/>
          <w:b/>
        </w:rPr>
      </w:pPr>
      <w:r w:rsidRPr="004D5810">
        <w:rPr>
          <w:rFonts w:cstheme="minorHAnsi"/>
          <w:b/>
        </w:rPr>
        <w:lastRenderedPageBreak/>
        <w:t>Literatura</w:t>
      </w:r>
    </w:p>
    <w:p w:rsidR="00036516" w:rsidRPr="00213C8C" w:rsidRDefault="00036516" w:rsidP="00331B83">
      <w:pPr>
        <w:pStyle w:val="Akapitzlist"/>
        <w:numPr>
          <w:ilvl w:val="0"/>
          <w:numId w:val="5"/>
        </w:numPr>
        <w:rPr>
          <w:rFonts w:cstheme="minorHAnsi"/>
        </w:rPr>
      </w:pPr>
      <w:r w:rsidRPr="00213C8C">
        <w:rPr>
          <w:rFonts w:cstheme="minorHAnsi"/>
        </w:rPr>
        <w:t xml:space="preserve">Zieliński A. Tężec w Baumann-Popczyk A, </w:t>
      </w:r>
      <w:proofErr w:type="spellStart"/>
      <w:r w:rsidRPr="00213C8C">
        <w:rPr>
          <w:rFonts w:cstheme="minorHAnsi"/>
        </w:rPr>
        <w:t>Sadkowska-todys</w:t>
      </w:r>
      <w:proofErr w:type="spellEnd"/>
      <w:r w:rsidRPr="00213C8C">
        <w:rPr>
          <w:rFonts w:cstheme="minorHAnsi"/>
        </w:rPr>
        <w:t xml:space="preserve"> M, Zieliński A red. Choroby zakaźne i pasożytnicze – epidemiologia i profilaktyka (Wyd. VII). Alfa-</w:t>
      </w:r>
      <w:proofErr w:type="spellStart"/>
      <w:r w:rsidRPr="00213C8C">
        <w:rPr>
          <w:rFonts w:cstheme="minorHAnsi"/>
        </w:rPr>
        <w:t>medica</w:t>
      </w:r>
      <w:proofErr w:type="spellEnd"/>
      <w:r w:rsidRPr="00213C8C">
        <w:rPr>
          <w:rFonts w:cstheme="minorHAnsi"/>
        </w:rPr>
        <w:t xml:space="preserve"> </w:t>
      </w:r>
      <w:proofErr w:type="spellStart"/>
      <w:r w:rsidRPr="00213C8C">
        <w:rPr>
          <w:rFonts w:cstheme="minorHAnsi"/>
        </w:rPr>
        <w:t>press</w:t>
      </w:r>
      <w:proofErr w:type="spellEnd"/>
      <w:r w:rsidRPr="00213C8C">
        <w:rPr>
          <w:rFonts w:cstheme="minorHAnsi"/>
        </w:rPr>
        <w:t xml:space="preserve">, 2014. </w:t>
      </w:r>
    </w:p>
    <w:p w:rsidR="001708F1" w:rsidRPr="00213C8C" w:rsidRDefault="00896D73" w:rsidP="00331B83">
      <w:pPr>
        <w:pStyle w:val="Akapitzlist"/>
        <w:numPr>
          <w:ilvl w:val="0"/>
          <w:numId w:val="5"/>
        </w:numPr>
        <w:rPr>
          <w:rFonts w:cstheme="minorHAnsi"/>
        </w:rPr>
      </w:pPr>
      <w:r w:rsidRPr="00213C8C">
        <w:rPr>
          <w:rFonts w:cstheme="minorHAnsi"/>
        </w:rPr>
        <w:t xml:space="preserve">Kuchar E. Tężec. Medycyna praktyczna. Dla Pacjentów. </w:t>
      </w:r>
      <w:hyperlink r:id="rId10" w:history="1">
        <w:r w:rsidR="00331B83" w:rsidRPr="00213C8C">
          <w:rPr>
            <w:rStyle w:val="Hipercze"/>
            <w:rFonts w:cstheme="minorHAnsi"/>
          </w:rPr>
          <w:t>https://www.mp.pl/pacjent/choroby-zakazne/choroby/zakazenia-bakteryjne/165387,tezec</w:t>
        </w:r>
      </w:hyperlink>
    </w:p>
    <w:p w:rsidR="00331B83" w:rsidRDefault="00331B83" w:rsidP="00331B83">
      <w:pPr>
        <w:pStyle w:val="Akapitzlist"/>
        <w:numPr>
          <w:ilvl w:val="0"/>
          <w:numId w:val="5"/>
        </w:numPr>
        <w:rPr>
          <w:rFonts w:cstheme="minorHAnsi"/>
        </w:rPr>
      </w:pPr>
      <w:r w:rsidRPr="00213C8C">
        <w:rPr>
          <w:rFonts w:cstheme="minorHAnsi"/>
        </w:rPr>
        <w:t xml:space="preserve">Szczepionka przeciw tężcowi na Portalu Narodowego Instytutu Zdrowia Publicznego - PZH Szczepienia.info, </w:t>
      </w:r>
      <w:hyperlink r:id="rId11" w:history="1">
        <w:r w:rsidR="00291F95" w:rsidRPr="0038022C">
          <w:rPr>
            <w:rStyle w:val="Hipercze"/>
            <w:rFonts w:cstheme="minorHAnsi"/>
          </w:rPr>
          <w:t>http://szczepienia.pzh.gov.pl/szczepionki/tezec/</w:t>
        </w:r>
      </w:hyperlink>
    </w:p>
    <w:p w:rsidR="00291F95" w:rsidRDefault="00291F95" w:rsidP="00331B83">
      <w:pPr>
        <w:pStyle w:val="Akapitzlist"/>
        <w:numPr>
          <w:ilvl w:val="0"/>
          <w:numId w:val="5"/>
        </w:numPr>
        <w:rPr>
          <w:rFonts w:cstheme="minorHAnsi"/>
        </w:rPr>
      </w:pPr>
      <w:r>
        <w:rPr>
          <w:rFonts w:cstheme="minorHAnsi"/>
        </w:rPr>
        <w:t xml:space="preserve">Kuszewski K. Szczepienia przeciwko tężcowi w </w:t>
      </w:r>
      <w:proofErr w:type="spellStart"/>
      <w:r>
        <w:rPr>
          <w:rFonts w:cstheme="minorHAnsi"/>
        </w:rPr>
        <w:t>Wakcynologia</w:t>
      </w:r>
      <w:proofErr w:type="spellEnd"/>
      <w:r>
        <w:rPr>
          <w:rFonts w:cstheme="minorHAnsi"/>
        </w:rPr>
        <w:t xml:space="preserve"> (wydanie II, poszerzone i aktualizowane). Red. </w:t>
      </w:r>
      <w:proofErr w:type="spellStart"/>
      <w:r>
        <w:rPr>
          <w:rFonts w:cstheme="minorHAnsi"/>
        </w:rPr>
        <w:t>Magdzik</w:t>
      </w:r>
      <w:proofErr w:type="spellEnd"/>
      <w:r>
        <w:rPr>
          <w:rFonts w:cstheme="minorHAnsi"/>
        </w:rPr>
        <w:t xml:space="preserve"> W., Naruszewicz-Lesiuk D., Zieliński A. Alfa-</w:t>
      </w:r>
      <w:proofErr w:type="spellStart"/>
      <w:r>
        <w:rPr>
          <w:rFonts w:cstheme="minorHAnsi"/>
        </w:rPr>
        <w:t>medica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press</w:t>
      </w:r>
      <w:proofErr w:type="spellEnd"/>
      <w:r>
        <w:rPr>
          <w:rFonts w:cstheme="minorHAnsi"/>
        </w:rPr>
        <w:t>, 2007.</w:t>
      </w:r>
    </w:p>
    <w:p w:rsidR="00F30916" w:rsidRPr="00213C8C" w:rsidRDefault="00F30916" w:rsidP="00F30916">
      <w:pPr>
        <w:pStyle w:val="Akapitzlist"/>
        <w:numPr>
          <w:ilvl w:val="0"/>
          <w:numId w:val="5"/>
        </w:numPr>
        <w:rPr>
          <w:rFonts w:cstheme="minorHAnsi"/>
        </w:rPr>
      </w:pPr>
      <w:r w:rsidRPr="00F30916">
        <w:rPr>
          <w:rFonts w:cstheme="minorHAnsi"/>
          <w:lang w:val="en-GB"/>
        </w:rPr>
        <w:t xml:space="preserve">Protecting All Against Tetanus: Guide to sustaining maternal and neonatal tetanus elimination (MNTE) and broadening tetanus protection for all populations. </w:t>
      </w:r>
      <w:proofErr w:type="spellStart"/>
      <w:r w:rsidRPr="00F30916">
        <w:rPr>
          <w:rFonts w:cstheme="minorHAnsi"/>
        </w:rPr>
        <w:t>Geneva</w:t>
      </w:r>
      <w:proofErr w:type="spellEnd"/>
      <w:r w:rsidRPr="00F30916">
        <w:rPr>
          <w:rFonts w:cstheme="minorHAnsi"/>
        </w:rPr>
        <w:t xml:space="preserve">: World Health Organization; 2019. </w:t>
      </w:r>
      <w:proofErr w:type="spellStart"/>
      <w:r w:rsidRPr="00F30916">
        <w:rPr>
          <w:rFonts w:cstheme="minorHAnsi"/>
        </w:rPr>
        <w:t>Licence</w:t>
      </w:r>
      <w:proofErr w:type="spellEnd"/>
      <w:r w:rsidRPr="00F30916">
        <w:rPr>
          <w:rFonts w:cstheme="minorHAnsi"/>
        </w:rPr>
        <w:t>: CC BY-NCSA 3.0 IGO</w:t>
      </w:r>
      <w:r>
        <w:rPr>
          <w:rFonts w:cstheme="minorHAnsi"/>
        </w:rPr>
        <w:t xml:space="preserve">. </w:t>
      </w:r>
    </w:p>
    <w:p w:rsidR="00EE6126" w:rsidRDefault="00EE6126" w:rsidP="008676E7">
      <w:pPr>
        <w:rPr>
          <w:rFonts w:cstheme="minorHAnsi"/>
          <w:b/>
          <w:lang w:val="en-GB"/>
        </w:rPr>
      </w:pPr>
    </w:p>
    <w:p w:rsidR="008676E7" w:rsidRDefault="00EE6126" w:rsidP="008676E7">
      <w:pPr>
        <w:rPr>
          <w:rFonts w:cstheme="minorHAnsi"/>
          <w:b/>
        </w:rPr>
      </w:pPr>
      <w:r w:rsidRPr="00EE6126">
        <w:rPr>
          <w:rFonts w:cstheme="minorHAnsi"/>
          <w:b/>
        </w:rPr>
        <w:t xml:space="preserve">Dane o </w:t>
      </w:r>
      <w:proofErr w:type="spellStart"/>
      <w:r w:rsidRPr="00EE6126">
        <w:rPr>
          <w:rFonts w:cstheme="minorHAnsi"/>
          <w:b/>
        </w:rPr>
        <w:t>zachorowaniach</w:t>
      </w:r>
      <w:proofErr w:type="spellEnd"/>
      <w:r w:rsidRPr="00EE6126">
        <w:rPr>
          <w:rFonts w:cstheme="minorHAnsi"/>
          <w:b/>
        </w:rPr>
        <w:t xml:space="preserve"> na tężec w Polsce</w:t>
      </w:r>
    </w:p>
    <w:p w:rsidR="00EE6126" w:rsidRPr="00EE6126" w:rsidRDefault="008B27C2" w:rsidP="008B27C2">
      <w:pPr>
        <w:rPr>
          <w:rFonts w:cstheme="minorHAnsi"/>
          <w:b/>
        </w:rPr>
      </w:pPr>
      <w:bookmarkStart w:id="0" w:name="_GoBack"/>
      <w:r w:rsidRPr="008B27C2">
        <w:t>http://isp-szkolenia.pzh.gov.pl/dataset/t</w:t>
      </w:r>
      <w:r>
        <w:t>ężec</w:t>
      </w:r>
      <w:bookmarkEnd w:id="0"/>
    </w:p>
    <w:sectPr w:rsidR="00EE6126" w:rsidRPr="00EE612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8863CAF"/>
    <w:multiLevelType w:val="hybridMultilevel"/>
    <w:tmpl w:val="8CF64058"/>
    <w:lvl w:ilvl="0" w:tplc="0415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9F507D0"/>
    <w:multiLevelType w:val="hybridMultilevel"/>
    <w:tmpl w:val="10D8A914"/>
    <w:lvl w:ilvl="0" w:tplc="0415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9183CD0"/>
    <w:multiLevelType w:val="hybridMultilevel"/>
    <w:tmpl w:val="80EA2636"/>
    <w:lvl w:ilvl="0" w:tplc="04150015">
      <w:start w:val="1"/>
      <w:numFmt w:val="upperLetter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1314373"/>
    <w:multiLevelType w:val="hybridMultilevel"/>
    <w:tmpl w:val="7C3A60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84C4C57"/>
    <w:multiLevelType w:val="hybridMultilevel"/>
    <w:tmpl w:val="B676499C"/>
    <w:lvl w:ilvl="0" w:tplc="0415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7846"/>
    <w:rsid w:val="00021121"/>
    <w:rsid w:val="0003604F"/>
    <w:rsid w:val="00036516"/>
    <w:rsid w:val="000433FA"/>
    <w:rsid w:val="00046BB3"/>
    <w:rsid w:val="00087271"/>
    <w:rsid w:val="000A5DCD"/>
    <w:rsid w:val="000B7FFE"/>
    <w:rsid w:val="0013305F"/>
    <w:rsid w:val="001708F1"/>
    <w:rsid w:val="001B20DF"/>
    <w:rsid w:val="001E7AFE"/>
    <w:rsid w:val="001F0900"/>
    <w:rsid w:val="00213C8C"/>
    <w:rsid w:val="002635A9"/>
    <w:rsid w:val="0026715A"/>
    <w:rsid w:val="00291F95"/>
    <w:rsid w:val="002E449F"/>
    <w:rsid w:val="00300E5E"/>
    <w:rsid w:val="0030183C"/>
    <w:rsid w:val="00331B83"/>
    <w:rsid w:val="00334C1B"/>
    <w:rsid w:val="00337846"/>
    <w:rsid w:val="003811C8"/>
    <w:rsid w:val="0039290B"/>
    <w:rsid w:val="003A3A8E"/>
    <w:rsid w:val="003C0938"/>
    <w:rsid w:val="003D0525"/>
    <w:rsid w:val="00425F1B"/>
    <w:rsid w:val="00471A66"/>
    <w:rsid w:val="00497368"/>
    <w:rsid w:val="004D5810"/>
    <w:rsid w:val="0050003C"/>
    <w:rsid w:val="005260AF"/>
    <w:rsid w:val="00547896"/>
    <w:rsid w:val="00564316"/>
    <w:rsid w:val="00592686"/>
    <w:rsid w:val="005C7087"/>
    <w:rsid w:val="005F55A5"/>
    <w:rsid w:val="006314B3"/>
    <w:rsid w:val="006679FA"/>
    <w:rsid w:val="006B2E5E"/>
    <w:rsid w:val="006D1F04"/>
    <w:rsid w:val="007308E8"/>
    <w:rsid w:val="00737A26"/>
    <w:rsid w:val="0074751A"/>
    <w:rsid w:val="00823CE0"/>
    <w:rsid w:val="00841BD4"/>
    <w:rsid w:val="008676E7"/>
    <w:rsid w:val="00896D73"/>
    <w:rsid w:val="008B27C2"/>
    <w:rsid w:val="009612B7"/>
    <w:rsid w:val="00991E16"/>
    <w:rsid w:val="009A21A2"/>
    <w:rsid w:val="00A21360"/>
    <w:rsid w:val="00A333A7"/>
    <w:rsid w:val="00A51741"/>
    <w:rsid w:val="00A81B2E"/>
    <w:rsid w:val="00AA056B"/>
    <w:rsid w:val="00B00CE8"/>
    <w:rsid w:val="00BD5350"/>
    <w:rsid w:val="00C42976"/>
    <w:rsid w:val="00C61079"/>
    <w:rsid w:val="00CA58BE"/>
    <w:rsid w:val="00D071C2"/>
    <w:rsid w:val="00D76146"/>
    <w:rsid w:val="00DC7BB2"/>
    <w:rsid w:val="00E71A93"/>
    <w:rsid w:val="00E845A0"/>
    <w:rsid w:val="00EC368B"/>
    <w:rsid w:val="00EE6126"/>
    <w:rsid w:val="00F1087E"/>
    <w:rsid w:val="00F30916"/>
    <w:rsid w:val="00F47B94"/>
    <w:rsid w:val="00F929E1"/>
    <w:rsid w:val="00F932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52ABE243-BDEA-453F-89A0-E783ECB9B2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A2136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A2136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kapitzlist">
    <w:name w:val="List Paragraph"/>
    <w:basedOn w:val="Normalny"/>
    <w:uiPriority w:val="34"/>
    <w:qFormat/>
    <w:rsid w:val="00547896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331B8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7126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90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486950">
          <w:marLeft w:val="0"/>
          <w:marRight w:val="0"/>
          <w:marTop w:val="0"/>
          <w:marBottom w:val="0"/>
          <w:divBdr>
            <w:top w:val="single" w:sz="6" w:space="2" w:color="C8CCD1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104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hyperlink" Target="http://szczepienia.pzh.gov.pl/szczepionki/tezec/" TargetMode="External"/><Relationship Id="rId5" Type="http://schemas.openxmlformats.org/officeDocument/2006/relationships/image" Target="media/image1.tif"/><Relationship Id="rId10" Type="http://schemas.openxmlformats.org/officeDocument/2006/relationships/hyperlink" Target="https://www.mp.pl/pacjent/choroby-zakazne/choroby/zakazenia-bakteryjne/165387,tezec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414</TotalTime>
  <Pages>5</Pages>
  <Words>1203</Words>
  <Characters>7218</Characters>
  <Application>Microsoft Office Word</Application>
  <DocSecurity>0</DocSecurity>
  <Lines>60</Lines>
  <Paragraphs>16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8405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IHR</dc:creator>
  <cp:lastModifiedBy>Rosińska Magdalena</cp:lastModifiedBy>
  <cp:revision>61</cp:revision>
  <dcterms:created xsi:type="dcterms:W3CDTF">2019-07-24T11:49:00Z</dcterms:created>
  <dcterms:modified xsi:type="dcterms:W3CDTF">2019-07-30T10:06:00Z</dcterms:modified>
</cp:coreProperties>
</file>