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009" w:rsidRDefault="000070BB" w:rsidP="00906009">
      <w:pPr>
        <w:pStyle w:val="Bezodstpw"/>
        <w:jc w:val="both"/>
        <w:rPr>
          <w:rFonts w:ascii="Candara" w:hAnsi="Candara" w:cs="Times New Roman"/>
          <w:b/>
          <w:color w:val="31849B" w:themeColor="accent5" w:themeShade="BF"/>
          <w:sz w:val="26"/>
          <w:szCs w:val="26"/>
          <w:u w:val="single"/>
        </w:rPr>
      </w:pPr>
      <w:r w:rsidRPr="00274378">
        <w:rPr>
          <w:rFonts w:ascii="Candara" w:hAnsi="Candara" w:cs="Times New Roman"/>
          <w:b/>
          <w:color w:val="31849B" w:themeColor="accent5" w:themeShade="BF"/>
          <w:sz w:val="26"/>
          <w:szCs w:val="26"/>
          <w:u w:val="single"/>
        </w:rPr>
        <w:t>Informacja o zachorowaniach na wirusowe zapalenie wątroby typu B</w:t>
      </w:r>
      <w:r w:rsidR="000964DD">
        <w:rPr>
          <w:rFonts w:ascii="Candara" w:hAnsi="Candara" w:cs="Times New Roman"/>
          <w:b/>
          <w:color w:val="31849B" w:themeColor="accent5" w:themeShade="BF"/>
          <w:sz w:val="26"/>
          <w:szCs w:val="26"/>
          <w:u w:val="single"/>
        </w:rPr>
        <w:t xml:space="preserve"> </w:t>
      </w:r>
    </w:p>
    <w:p w:rsidR="00804040" w:rsidRDefault="00906009" w:rsidP="00906009">
      <w:pPr>
        <w:pStyle w:val="Bezodstpw"/>
        <w:jc w:val="both"/>
        <w:rPr>
          <w:rFonts w:ascii="Candara" w:hAnsi="Candara" w:cs="Times New Roman"/>
          <w:b/>
          <w:color w:val="31849B" w:themeColor="accent5" w:themeShade="BF"/>
          <w:sz w:val="26"/>
          <w:szCs w:val="26"/>
          <w:u w:val="single"/>
        </w:rPr>
      </w:pPr>
      <w:r>
        <w:rPr>
          <w:rFonts w:ascii="Candara" w:hAnsi="Candara" w:cs="Times New Roman"/>
          <w:b/>
          <w:color w:val="31849B" w:themeColor="accent5" w:themeShade="BF"/>
          <w:sz w:val="26"/>
          <w:szCs w:val="26"/>
          <w:u w:val="single"/>
        </w:rPr>
        <w:t xml:space="preserve">(WZW B) </w:t>
      </w:r>
      <w:r w:rsidR="00895649" w:rsidRPr="00274378">
        <w:rPr>
          <w:rFonts w:ascii="Candara" w:hAnsi="Candara" w:cs="Times New Roman"/>
          <w:b/>
          <w:color w:val="31849B" w:themeColor="accent5" w:themeShade="BF"/>
          <w:sz w:val="26"/>
          <w:szCs w:val="26"/>
          <w:u w:val="single"/>
        </w:rPr>
        <w:t xml:space="preserve">i </w:t>
      </w:r>
      <w:r w:rsidR="0018710D" w:rsidRPr="00274378">
        <w:rPr>
          <w:rFonts w:ascii="Candara" w:hAnsi="Candara" w:cs="Times New Roman"/>
          <w:b/>
          <w:color w:val="31849B" w:themeColor="accent5" w:themeShade="BF"/>
          <w:sz w:val="26"/>
          <w:szCs w:val="26"/>
          <w:u w:val="single"/>
        </w:rPr>
        <w:t>zakażeniach HBV</w:t>
      </w:r>
    </w:p>
    <w:p w:rsidR="00D71771" w:rsidRPr="00274378" w:rsidRDefault="00D71771" w:rsidP="00965DA6">
      <w:pPr>
        <w:pStyle w:val="Bezodstpw"/>
        <w:rPr>
          <w:rFonts w:ascii="Candara" w:hAnsi="Candara" w:cs="Times New Roman"/>
          <w:b/>
          <w:color w:val="31849B" w:themeColor="accent5" w:themeShade="BF"/>
          <w:sz w:val="26"/>
          <w:szCs w:val="26"/>
          <w:u w:val="single"/>
        </w:rPr>
      </w:pPr>
      <w:r w:rsidRPr="00D71771">
        <w:rPr>
          <w:noProof/>
          <w:lang w:eastAsia="pl-PL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201930</wp:posOffset>
            </wp:positionV>
            <wp:extent cx="2000250" cy="2466975"/>
            <wp:effectExtent l="0" t="0" r="0" b="9525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46BF" w:rsidRDefault="004005AE" w:rsidP="00AE6D5C">
      <w:pPr>
        <w:pStyle w:val="Bezodstpw"/>
        <w:rPr>
          <w:rFonts w:ascii="Candara" w:hAnsi="Candara" w:cs="Times New Roman"/>
          <w:b/>
        </w:rPr>
      </w:pPr>
      <w:r w:rsidRPr="00FF5270">
        <w:rPr>
          <w:rFonts w:ascii="Candara" w:hAnsi="Candara" w:cs="Times New Roman"/>
          <w:b/>
          <w:i/>
        </w:rPr>
        <w:t>Ryc. 1.</w:t>
      </w:r>
      <w:r>
        <w:rPr>
          <w:rFonts w:ascii="Candara" w:hAnsi="Candara" w:cs="Times New Roman"/>
          <w:b/>
        </w:rPr>
        <w:t xml:space="preserve"> Wirus zapalenia wątroby typu B. </w:t>
      </w:r>
    </w:p>
    <w:p w:rsidR="004005AE" w:rsidRPr="002146BF" w:rsidRDefault="002146BF" w:rsidP="002146BF">
      <w:pPr>
        <w:pStyle w:val="Bezodstpw"/>
        <w:ind w:left="2124" w:firstLine="708"/>
        <w:rPr>
          <w:rFonts w:ascii="Candara" w:hAnsi="Candara" w:cs="Times New Roman"/>
        </w:rPr>
      </w:pPr>
      <w:r w:rsidRPr="002146BF">
        <w:rPr>
          <w:rFonts w:ascii="Candara" w:hAnsi="Candara" w:cs="Times New Roman"/>
        </w:rPr>
        <w:t>Obraz z transmisyjnego mikroskopu elektronowego</w:t>
      </w:r>
    </w:p>
    <w:p w:rsidR="004005AE" w:rsidRPr="004005AE" w:rsidRDefault="004005AE" w:rsidP="004005AE">
      <w:pPr>
        <w:pStyle w:val="Bezodstpw"/>
        <w:ind w:firstLine="708"/>
        <w:rPr>
          <w:rFonts w:ascii="Candara" w:hAnsi="Candara" w:cs="Times New Roman"/>
          <w:b/>
          <w:sz w:val="20"/>
          <w:szCs w:val="20"/>
        </w:rPr>
      </w:pPr>
      <w:r w:rsidRPr="004005AE">
        <w:rPr>
          <w:rFonts w:ascii="Candara" w:hAnsi="Candara" w:cs="Times New Roman"/>
          <w:sz w:val="20"/>
          <w:szCs w:val="20"/>
        </w:rPr>
        <w:t>Źródło: Wikipedia</w:t>
      </w:r>
    </w:p>
    <w:p w:rsidR="009F1857" w:rsidRDefault="009F1857" w:rsidP="009F1857">
      <w:pPr>
        <w:pStyle w:val="Bezodstpw"/>
        <w:jc w:val="both"/>
        <w:rPr>
          <w:rFonts w:ascii="Candara" w:hAnsi="Candara" w:cs="Times New Roman"/>
          <w:b/>
        </w:rPr>
      </w:pPr>
    </w:p>
    <w:p w:rsidR="00074928" w:rsidRDefault="00074928" w:rsidP="009F1857">
      <w:pPr>
        <w:pStyle w:val="Bezodstpw"/>
        <w:jc w:val="both"/>
        <w:rPr>
          <w:rFonts w:ascii="Candara" w:hAnsi="Candara" w:cs="Times New Roman"/>
          <w:b/>
        </w:rPr>
      </w:pPr>
    </w:p>
    <w:p w:rsidR="00C64341" w:rsidRDefault="00C64341" w:rsidP="009F1857">
      <w:pPr>
        <w:pStyle w:val="Bezodstpw"/>
        <w:jc w:val="both"/>
        <w:rPr>
          <w:rFonts w:ascii="Candara" w:hAnsi="Candara" w:cs="Times New Roman"/>
          <w:b/>
        </w:rPr>
      </w:pPr>
    </w:p>
    <w:p w:rsidR="00C64341" w:rsidRDefault="00C64341" w:rsidP="009F1857">
      <w:pPr>
        <w:pStyle w:val="Bezodstpw"/>
        <w:jc w:val="both"/>
        <w:rPr>
          <w:rFonts w:ascii="Candara" w:hAnsi="Candara" w:cs="Times New Roman"/>
          <w:b/>
        </w:rPr>
      </w:pPr>
    </w:p>
    <w:p w:rsidR="00B90A72" w:rsidRDefault="00B90A72" w:rsidP="009F1857">
      <w:pPr>
        <w:pStyle w:val="Bezodstpw"/>
        <w:jc w:val="both"/>
        <w:rPr>
          <w:rFonts w:ascii="Candara" w:hAnsi="Candara" w:cs="Times New Roman"/>
        </w:rPr>
      </w:pPr>
      <w:r w:rsidRPr="00A11A01">
        <w:rPr>
          <w:rFonts w:ascii="Candara" w:hAnsi="Candara" w:cs="Times New Roman"/>
          <w:b/>
        </w:rPr>
        <w:t>Objawy:</w:t>
      </w:r>
      <w:r w:rsidRPr="00895649">
        <w:rPr>
          <w:rFonts w:ascii="Candara" w:hAnsi="Candara" w:cs="Times New Roman"/>
          <w:b/>
        </w:rPr>
        <w:t xml:space="preserve"> </w:t>
      </w:r>
      <w:r w:rsidR="00BB1353" w:rsidRPr="00895649">
        <w:rPr>
          <w:rFonts w:ascii="Candara" w:hAnsi="Candara" w:cs="Times New Roman"/>
        </w:rPr>
        <w:t xml:space="preserve">Po ok. </w:t>
      </w:r>
      <w:r w:rsidR="000D5CFC" w:rsidRPr="00895649">
        <w:rPr>
          <w:rFonts w:ascii="Candara" w:hAnsi="Candara" w:cs="Times New Roman"/>
        </w:rPr>
        <w:t>9</w:t>
      </w:r>
      <w:r w:rsidR="00BB1353" w:rsidRPr="00895649">
        <w:rPr>
          <w:rFonts w:ascii="Candara" w:hAnsi="Candara" w:cs="Times New Roman"/>
        </w:rPr>
        <w:t xml:space="preserve">-12 tygodniach </w:t>
      </w:r>
      <w:r w:rsidR="00D6359E">
        <w:rPr>
          <w:rFonts w:ascii="Candara" w:hAnsi="Candara" w:cs="Times New Roman"/>
        </w:rPr>
        <w:t xml:space="preserve">(max. po 150 dniach) </w:t>
      </w:r>
      <w:r w:rsidR="00BB1353" w:rsidRPr="00895649">
        <w:rPr>
          <w:rFonts w:ascii="Candara" w:hAnsi="Candara" w:cs="Times New Roman"/>
        </w:rPr>
        <w:t>od zakażenia</w:t>
      </w:r>
      <w:r w:rsidR="00BB1353" w:rsidRPr="00895649">
        <w:rPr>
          <w:rFonts w:ascii="Candara" w:hAnsi="Candara" w:cs="Times New Roman"/>
          <w:b/>
        </w:rPr>
        <w:t xml:space="preserve"> </w:t>
      </w:r>
      <w:r w:rsidR="00A67DB8" w:rsidRPr="00895649">
        <w:rPr>
          <w:rFonts w:ascii="Candara" w:hAnsi="Candara" w:cs="Times New Roman"/>
        </w:rPr>
        <w:t>u 40-50% zakażonych</w:t>
      </w:r>
      <w:r w:rsidR="00BB1353" w:rsidRPr="00895649">
        <w:rPr>
          <w:rFonts w:ascii="Candara" w:hAnsi="Candara" w:cs="Times New Roman"/>
        </w:rPr>
        <w:t xml:space="preserve"> występują objawy ostrego </w:t>
      </w:r>
      <w:r w:rsidR="00D6359E">
        <w:rPr>
          <w:rFonts w:ascii="Candara" w:hAnsi="Candara" w:cs="Times New Roman"/>
        </w:rPr>
        <w:t>zapalenia wątroby</w:t>
      </w:r>
      <w:r w:rsidR="00895649" w:rsidRPr="00895649">
        <w:rPr>
          <w:rFonts w:ascii="Candara" w:hAnsi="Candara" w:cs="Times New Roman"/>
        </w:rPr>
        <w:t xml:space="preserve"> </w:t>
      </w:r>
      <w:r w:rsidR="00BB1353" w:rsidRPr="00895649">
        <w:rPr>
          <w:rFonts w:ascii="Candara" w:hAnsi="Candara" w:cs="Times New Roman"/>
        </w:rPr>
        <w:t xml:space="preserve">- podwyższenie temperatury ciała, utrata łaknienia, nudności, </w:t>
      </w:r>
      <w:r w:rsidR="00D6359E">
        <w:rPr>
          <w:rFonts w:ascii="Candara" w:hAnsi="Candara" w:cs="Times New Roman"/>
        </w:rPr>
        <w:t xml:space="preserve">wymioty, bóle w prawym podżebrzu, </w:t>
      </w:r>
      <w:r w:rsidR="00BB1353" w:rsidRPr="00895649">
        <w:rPr>
          <w:rFonts w:ascii="Candara" w:hAnsi="Candara" w:cs="Times New Roman"/>
        </w:rPr>
        <w:t>ogólne osłabienie, wyraźne zwiększenie aktywności enzymów wątrobowych, ciemne zabarwienie moczu i u części chorych żółtaczka.</w:t>
      </w:r>
      <w:r w:rsidR="00A67DB8" w:rsidRPr="00895649">
        <w:rPr>
          <w:rFonts w:ascii="Candara" w:hAnsi="Candara" w:cs="Times New Roman"/>
        </w:rPr>
        <w:t xml:space="preserve"> </w:t>
      </w:r>
      <w:r w:rsidR="003D20B2" w:rsidRPr="00895649">
        <w:rPr>
          <w:rFonts w:ascii="Candara" w:hAnsi="Candara" w:cs="Times New Roman"/>
        </w:rPr>
        <w:t>Objawy częściej występują u dorosłych,</w:t>
      </w:r>
      <w:r w:rsidR="00A67DB8" w:rsidRPr="00895649">
        <w:rPr>
          <w:rFonts w:ascii="Candara" w:hAnsi="Candara" w:cs="Times New Roman"/>
        </w:rPr>
        <w:t xml:space="preserve"> </w:t>
      </w:r>
      <w:r w:rsidR="00BB1353" w:rsidRPr="00895649">
        <w:rPr>
          <w:rFonts w:ascii="Candara" w:hAnsi="Candara" w:cs="Times New Roman"/>
        </w:rPr>
        <w:t>mogą być</w:t>
      </w:r>
      <w:r w:rsidR="00A67DB8" w:rsidRPr="00895649">
        <w:rPr>
          <w:rFonts w:ascii="Candara" w:hAnsi="Candara" w:cs="Times New Roman"/>
        </w:rPr>
        <w:t xml:space="preserve"> poprzedzone objawami prodromalnymi (dyspeptyc</w:t>
      </w:r>
      <w:r w:rsidR="003D20B2" w:rsidRPr="00895649">
        <w:rPr>
          <w:rFonts w:ascii="Candara" w:hAnsi="Candara" w:cs="Times New Roman"/>
        </w:rPr>
        <w:t xml:space="preserve">znymi, rzadziej grypopodobnymi), u dzieci częściej występują </w:t>
      </w:r>
      <w:r w:rsidR="00A67DB8" w:rsidRPr="00895649">
        <w:rPr>
          <w:rFonts w:ascii="Candara" w:hAnsi="Candara" w:cs="Times New Roman"/>
        </w:rPr>
        <w:t xml:space="preserve"> </w:t>
      </w:r>
      <w:r w:rsidR="003D20B2" w:rsidRPr="00895649">
        <w:rPr>
          <w:rFonts w:ascii="Candara" w:hAnsi="Candara" w:cs="Times New Roman"/>
        </w:rPr>
        <w:t xml:space="preserve">objawy pozawątrobowe. </w:t>
      </w:r>
      <w:r w:rsidR="00A11A01">
        <w:rPr>
          <w:rFonts w:ascii="Candara" w:hAnsi="Candara" w:cs="Times New Roman"/>
        </w:rPr>
        <w:t xml:space="preserve">W rzadkich przypadkach ostre </w:t>
      </w:r>
      <w:r w:rsidR="00C219E3">
        <w:rPr>
          <w:rFonts w:ascii="Candara" w:hAnsi="Candara" w:cs="Times New Roman"/>
        </w:rPr>
        <w:t>WZW</w:t>
      </w:r>
      <w:r w:rsidR="00A11A01">
        <w:rPr>
          <w:rFonts w:ascii="Candara" w:hAnsi="Candara" w:cs="Times New Roman"/>
        </w:rPr>
        <w:t xml:space="preserve"> B może przebiegać w postaci piorunującej, o wysokiej śmiertelności. </w:t>
      </w:r>
      <w:r w:rsidR="003D20B2" w:rsidRPr="00895649">
        <w:rPr>
          <w:rFonts w:ascii="Candara" w:hAnsi="Candara" w:cs="Times New Roman"/>
        </w:rPr>
        <w:t xml:space="preserve">Przejście choroby </w:t>
      </w:r>
      <w:r w:rsidR="00BE59C1" w:rsidRPr="00895649">
        <w:rPr>
          <w:rFonts w:ascii="Candara" w:hAnsi="Candara" w:cs="Times New Roman"/>
        </w:rPr>
        <w:t xml:space="preserve">w </w:t>
      </w:r>
      <w:r w:rsidR="00315506" w:rsidRPr="00895649">
        <w:rPr>
          <w:rFonts w:ascii="Candara" w:hAnsi="Candara" w:cs="Times New Roman"/>
        </w:rPr>
        <w:t>postać</w:t>
      </w:r>
      <w:r w:rsidR="00BE59C1" w:rsidRPr="00895649">
        <w:rPr>
          <w:rFonts w:ascii="Candara" w:hAnsi="Candara" w:cs="Times New Roman"/>
        </w:rPr>
        <w:t xml:space="preserve"> przewlekł</w:t>
      </w:r>
      <w:r w:rsidR="00315506" w:rsidRPr="00895649">
        <w:rPr>
          <w:rFonts w:ascii="Candara" w:hAnsi="Candara" w:cs="Times New Roman"/>
        </w:rPr>
        <w:t>ą</w:t>
      </w:r>
      <w:r w:rsidR="00BE59C1" w:rsidRPr="00895649">
        <w:rPr>
          <w:rFonts w:ascii="Candara" w:hAnsi="Candara" w:cs="Times New Roman"/>
        </w:rPr>
        <w:t xml:space="preserve"> </w:t>
      </w:r>
      <w:r w:rsidR="003D20B2" w:rsidRPr="00895649">
        <w:rPr>
          <w:rFonts w:ascii="Candara" w:hAnsi="Candara" w:cs="Times New Roman"/>
        </w:rPr>
        <w:t xml:space="preserve">jest </w:t>
      </w:r>
      <w:r w:rsidR="00FD515A" w:rsidRPr="00895649">
        <w:rPr>
          <w:rFonts w:ascii="Candara" w:hAnsi="Candara" w:cs="Times New Roman"/>
        </w:rPr>
        <w:t>zależne od wieku</w:t>
      </w:r>
      <w:r w:rsidR="003D20B2" w:rsidRPr="00895649">
        <w:rPr>
          <w:rFonts w:ascii="Candara" w:hAnsi="Candara" w:cs="Times New Roman"/>
        </w:rPr>
        <w:t xml:space="preserve"> – ponad 9</w:t>
      </w:r>
      <w:r w:rsidR="007F6497" w:rsidRPr="00895649">
        <w:rPr>
          <w:rFonts w:ascii="Candara" w:hAnsi="Candara" w:cs="Times New Roman"/>
        </w:rPr>
        <w:t>5</w:t>
      </w:r>
      <w:r w:rsidR="003D20B2" w:rsidRPr="00895649">
        <w:rPr>
          <w:rFonts w:ascii="Candara" w:hAnsi="Candara" w:cs="Times New Roman"/>
        </w:rPr>
        <w:t>% osób zakażonych w wieku dorosłym</w:t>
      </w:r>
      <w:r w:rsidR="007F6497" w:rsidRPr="00895649">
        <w:rPr>
          <w:rFonts w:ascii="Candara" w:hAnsi="Candara" w:cs="Times New Roman"/>
        </w:rPr>
        <w:t xml:space="preserve"> samoistnie zwalcza chorobę, u dzieci –</w:t>
      </w:r>
      <w:r w:rsidR="00CF1DF0">
        <w:rPr>
          <w:rFonts w:ascii="Candara" w:hAnsi="Candara" w:cs="Times New Roman"/>
        </w:rPr>
        <w:t xml:space="preserve"> </w:t>
      </w:r>
      <w:r w:rsidR="007F6497" w:rsidRPr="00895649">
        <w:rPr>
          <w:rFonts w:ascii="Candara" w:hAnsi="Candara" w:cs="Times New Roman"/>
        </w:rPr>
        <w:t>ok.90% zakaże</w:t>
      </w:r>
      <w:r w:rsidR="00A61AC4" w:rsidRPr="00895649">
        <w:rPr>
          <w:rFonts w:ascii="Candara" w:hAnsi="Candara" w:cs="Times New Roman"/>
        </w:rPr>
        <w:t>ń</w:t>
      </w:r>
      <w:r w:rsidR="007F6497" w:rsidRPr="00895649">
        <w:rPr>
          <w:rFonts w:ascii="Candara" w:hAnsi="Candara" w:cs="Times New Roman"/>
        </w:rPr>
        <w:t xml:space="preserve"> okołoporodowych i 30%-50% </w:t>
      </w:r>
      <w:r w:rsidR="00A61AC4" w:rsidRPr="00895649">
        <w:rPr>
          <w:rFonts w:ascii="Candara" w:hAnsi="Candara" w:cs="Times New Roman"/>
        </w:rPr>
        <w:t>zakażeń</w:t>
      </w:r>
      <w:r w:rsidR="007F6497" w:rsidRPr="00895649">
        <w:rPr>
          <w:rFonts w:ascii="Candara" w:hAnsi="Candara" w:cs="Times New Roman"/>
        </w:rPr>
        <w:t xml:space="preserve"> nabytych do 6 r.ż.</w:t>
      </w:r>
      <w:r w:rsidR="00A61AC4" w:rsidRPr="00895649">
        <w:rPr>
          <w:rFonts w:ascii="Candara" w:hAnsi="Candara" w:cs="Times New Roman"/>
        </w:rPr>
        <w:t xml:space="preserve"> przechodzi w postać przewlekłą</w:t>
      </w:r>
      <w:r w:rsidR="007F6497" w:rsidRPr="00895649">
        <w:rPr>
          <w:rFonts w:ascii="Candara" w:hAnsi="Candara" w:cs="Times New Roman"/>
        </w:rPr>
        <w:t xml:space="preserve">. </w:t>
      </w:r>
      <w:r w:rsidR="00315506" w:rsidRPr="00895649">
        <w:rPr>
          <w:rFonts w:ascii="Candara" w:hAnsi="Candara" w:cs="Times New Roman"/>
        </w:rPr>
        <w:t xml:space="preserve">U 20-30% osób z przewlekłym </w:t>
      </w:r>
      <w:r w:rsidR="0018710D" w:rsidRPr="00895649">
        <w:rPr>
          <w:rFonts w:ascii="Candara" w:hAnsi="Candara" w:cs="Times New Roman"/>
        </w:rPr>
        <w:t>WZW</w:t>
      </w:r>
      <w:r w:rsidR="00315506" w:rsidRPr="00895649">
        <w:rPr>
          <w:rFonts w:ascii="Candara" w:hAnsi="Candara" w:cs="Times New Roman"/>
        </w:rPr>
        <w:t xml:space="preserve"> B dochodzi do rozwoju marskości wątroby i pierwotnego raka wątroby. </w:t>
      </w:r>
    </w:p>
    <w:p w:rsidR="00074928" w:rsidRPr="00895649" w:rsidRDefault="00074928" w:rsidP="009F1857">
      <w:pPr>
        <w:pStyle w:val="Bezodstpw"/>
        <w:jc w:val="both"/>
        <w:rPr>
          <w:rFonts w:ascii="Candara" w:hAnsi="Candara" w:cs="Times New Roman"/>
        </w:rPr>
      </w:pPr>
    </w:p>
    <w:p w:rsidR="00293655" w:rsidRDefault="00965DA6" w:rsidP="009F1857">
      <w:pPr>
        <w:pStyle w:val="Bezodstpw"/>
        <w:jc w:val="both"/>
        <w:rPr>
          <w:rFonts w:ascii="Candara" w:hAnsi="Candara" w:cs="Times New Roman"/>
        </w:rPr>
      </w:pPr>
      <w:r w:rsidRPr="00895649">
        <w:rPr>
          <w:rFonts w:ascii="Candara" w:hAnsi="Candara" w:cs="Times New Roman"/>
          <w:b/>
        </w:rPr>
        <w:t>Transmisja</w:t>
      </w:r>
      <w:r w:rsidR="000D5CFC" w:rsidRPr="00895649">
        <w:rPr>
          <w:rFonts w:ascii="Candara" w:hAnsi="Candara" w:cs="Times New Roman"/>
          <w:b/>
        </w:rPr>
        <w:t>:</w:t>
      </w:r>
      <w:r w:rsidR="000D5CFC" w:rsidRPr="00895649">
        <w:rPr>
          <w:rFonts w:ascii="Candara" w:hAnsi="Candara" w:cs="Times New Roman"/>
          <w:lang w:eastAsia="pl-PL"/>
        </w:rPr>
        <w:t xml:space="preserve"> </w:t>
      </w:r>
      <w:r w:rsidR="000D5CFC" w:rsidRPr="00895649">
        <w:rPr>
          <w:rFonts w:ascii="Candara" w:hAnsi="Candara" w:cs="Times New Roman"/>
        </w:rPr>
        <w:t>Wirus HBV przenosi się z człowieka na człowieka, najskuteczniej poprzez naruszenie ciągłości tkanek, kiedy dochodzi do kontaktu uszkodzonej skóry lub błon śluzowych z materiałem zakaźnym – krwią, nasieniem i innymi płynami ustrojowymi</w:t>
      </w:r>
      <w:r w:rsidR="00DF4EEB" w:rsidRPr="00895649">
        <w:rPr>
          <w:rFonts w:ascii="Candara" w:hAnsi="Candara" w:cs="Times New Roman"/>
        </w:rPr>
        <w:t xml:space="preserve">. </w:t>
      </w:r>
    </w:p>
    <w:p w:rsidR="00D71771" w:rsidRDefault="00D71771" w:rsidP="00293655">
      <w:pPr>
        <w:pStyle w:val="Bezodstpw"/>
        <w:spacing w:before="240"/>
        <w:jc w:val="both"/>
        <w:rPr>
          <w:rFonts w:ascii="Candara" w:hAnsi="Candara" w:cs="Times New Roman"/>
        </w:rPr>
      </w:pPr>
      <w:r w:rsidRPr="00D71771">
        <w:rPr>
          <w:noProof/>
          <w:lang w:eastAsia="pl-PL"/>
        </w:rPr>
        <w:drawing>
          <wp:inline distT="0" distB="0" distL="0" distR="0">
            <wp:extent cx="5314950" cy="294322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34"/>
                    <a:stretch/>
                  </pic:blipFill>
                  <pic:spPr bwMode="auto">
                    <a:xfrm>
                      <a:off x="0" y="0"/>
                      <a:ext cx="53149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341" w:rsidRDefault="00293655" w:rsidP="00074928">
      <w:pPr>
        <w:pStyle w:val="Bezodstpw"/>
        <w:jc w:val="both"/>
        <w:rPr>
          <w:rFonts w:ascii="Candara" w:hAnsi="Candara" w:cs="Times New Roman"/>
        </w:rPr>
      </w:pPr>
      <w:r w:rsidRPr="00FF5270">
        <w:rPr>
          <w:rFonts w:ascii="Candara" w:hAnsi="Candara" w:cs="Times New Roman"/>
          <w:b/>
          <w:i/>
        </w:rPr>
        <w:t>Ryc. 2.</w:t>
      </w:r>
      <w:r>
        <w:rPr>
          <w:rFonts w:ascii="Candara" w:hAnsi="Candara" w:cs="Times New Roman"/>
        </w:rPr>
        <w:t xml:space="preserve"> Do zakażenia </w:t>
      </w:r>
      <w:r w:rsidR="002146BF">
        <w:rPr>
          <w:rFonts w:ascii="Candara" w:hAnsi="Candara" w:cs="Times New Roman"/>
        </w:rPr>
        <w:t xml:space="preserve">HBV </w:t>
      </w:r>
      <w:r>
        <w:rPr>
          <w:rFonts w:ascii="Candara" w:hAnsi="Candara" w:cs="Times New Roman"/>
        </w:rPr>
        <w:t>może dojść nawet podczas drobnych zabiegów z naruszeniem ciągłości tkanek</w:t>
      </w:r>
      <w:r w:rsidR="00C64341">
        <w:rPr>
          <w:rFonts w:ascii="Candara" w:hAnsi="Candara" w:cs="Times New Roman"/>
        </w:rPr>
        <w:t xml:space="preserve">. </w:t>
      </w:r>
    </w:p>
    <w:p w:rsidR="00074928" w:rsidRPr="00C64341" w:rsidRDefault="00074928" w:rsidP="00074928">
      <w:pPr>
        <w:pStyle w:val="Bezodstpw"/>
        <w:jc w:val="both"/>
        <w:rPr>
          <w:rFonts w:ascii="Candara" w:hAnsi="Candara" w:cs="Times New Roman"/>
        </w:rPr>
      </w:pPr>
      <w:r w:rsidRPr="00074928">
        <w:rPr>
          <w:rFonts w:ascii="Candara" w:hAnsi="Candara" w:cs="Times New Roman"/>
          <w:i/>
          <w:sz w:val="20"/>
          <w:szCs w:val="20"/>
        </w:rPr>
        <w:t>Źródło: Pixabay</w:t>
      </w:r>
      <w:r>
        <w:rPr>
          <w:rFonts w:ascii="Candara" w:hAnsi="Candara" w:cs="Times New Roman"/>
          <w:i/>
          <w:sz w:val="20"/>
          <w:szCs w:val="20"/>
        </w:rPr>
        <w:t>/Jason Taix</w:t>
      </w:r>
    </w:p>
    <w:p w:rsidR="00C64341" w:rsidRDefault="00C64341" w:rsidP="00074928">
      <w:pPr>
        <w:pStyle w:val="Bezodstpw"/>
        <w:jc w:val="both"/>
        <w:rPr>
          <w:rFonts w:ascii="Candara" w:hAnsi="Candara" w:cs="Times New Roman"/>
        </w:rPr>
      </w:pPr>
    </w:p>
    <w:p w:rsidR="00074928" w:rsidRDefault="00074928" w:rsidP="00074928">
      <w:pPr>
        <w:pStyle w:val="Bezodstpw"/>
        <w:jc w:val="both"/>
        <w:rPr>
          <w:rFonts w:ascii="Candara" w:hAnsi="Candara" w:cs="Times New Roman"/>
        </w:rPr>
      </w:pPr>
      <w:r w:rsidRPr="00895649">
        <w:rPr>
          <w:rFonts w:ascii="Candara" w:hAnsi="Candara" w:cs="Times New Roman"/>
        </w:rPr>
        <w:lastRenderedPageBreak/>
        <w:t>Do zakażenia może dochodzić podczas wykonywania zabiegów medycznych, zabiegów upiększających (tatuaże, kolczykowanie), poprzez kontakty seksualne (szczególnie homoseksualne), w związku z uż</w:t>
      </w:r>
      <w:r>
        <w:rPr>
          <w:rFonts w:ascii="Candara" w:hAnsi="Candara" w:cs="Times New Roman"/>
        </w:rPr>
        <w:t xml:space="preserve">ywaniem narkotyków w iniekcjach, </w:t>
      </w:r>
      <w:r w:rsidRPr="00895649">
        <w:rPr>
          <w:rFonts w:ascii="Candara" w:hAnsi="Candara" w:cs="Times New Roman"/>
        </w:rPr>
        <w:t>na drodze wertykalnej z matki na dziecko</w:t>
      </w:r>
      <w:r>
        <w:rPr>
          <w:rFonts w:ascii="Candara" w:hAnsi="Candara" w:cs="Times New Roman"/>
        </w:rPr>
        <w:t xml:space="preserve"> oraz poprzez kontakty domowe z osobą zakażoną HBV</w:t>
      </w:r>
      <w:r w:rsidRPr="00895649">
        <w:rPr>
          <w:rFonts w:ascii="Candara" w:hAnsi="Candara" w:cs="Times New Roman"/>
        </w:rPr>
        <w:t>.</w:t>
      </w:r>
    </w:p>
    <w:p w:rsidR="00293655" w:rsidRPr="00895649" w:rsidRDefault="00293655" w:rsidP="009F1857">
      <w:pPr>
        <w:pStyle w:val="Bezodstpw"/>
        <w:jc w:val="both"/>
        <w:rPr>
          <w:rFonts w:ascii="Candara" w:hAnsi="Candara" w:cs="Times New Roman"/>
        </w:rPr>
      </w:pPr>
    </w:p>
    <w:p w:rsidR="00E24EAE" w:rsidRDefault="00E24EAE" w:rsidP="009F1857">
      <w:pPr>
        <w:pStyle w:val="Bezodstpw"/>
        <w:jc w:val="both"/>
        <w:rPr>
          <w:rFonts w:ascii="Candara" w:hAnsi="Candara" w:cs="Times New Roman"/>
        </w:rPr>
      </w:pPr>
      <w:r w:rsidRPr="00895649">
        <w:rPr>
          <w:rFonts w:ascii="Candara" w:hAnsi="Candara" w:cs="Times New Roman"/>
          <w:b/>
        </w:rPr>
        <w:t>Zapobieganie:</w:t>
      </w:r>
      <w:r w:rsidR="00312092" w:rsidRPr="00895649">
        <w:rPr>
          <w:rFonts w:ascii="Candara" w:hAnsi="Candara" w:cs="Times New Roman"/>
          <w:b/>
        </w:rPr>
        <w:t xml:space="preserve"> </w:t>
      </w:r>
      <w:r w:rsidR="00FD515A" w:rsidRPr="00895649">
        <w:rPr>
          <w:rFonts w:ascii="Candara" w:hAnsi="Candara" w:cs="Times New Roman"/>
        </w:rPr>
        <w:t xml:space="preserve">Najskuteczniejszą metodą zapobiegania jest </w:t>
      </w:r>
      <w:r w:rsidR="00312092" w:rsidRPr="00895649">
        <w:rPr>
          <w:rFonts w:ascii="Candara" w:hAnsi="Candara" w:cs="Times New Roman"/>
        </w:rPr>
        <w:t>szczepieni</w:t>
      </w:r>
      <w:r w:rsidR="00FD515A" w:rsidRPr="00895649">
        <w:rPr>
          <w:rFonts w:ascii="Candara" w:hAnsi="Candara" w:cs="Times New Roman"/>
        </w:rPr>
        <w:t>e</w:t>
      </w:r>
      <w:r w:rsidR="00025F88" w:rsidRPr="00895649">
        <w:rPr>
          <w:rFonts w:ascii="Candara" w:hAnsi="Candara" w:cs="Times New Roman"/>
        </w:rPr>
        <w:t>.</w:t>
      </w:r>
      <w:r w:rsidR="00312092" w:rsidRPr="00895649">
        <w:rPr>
          <w:rFonts w:ascii="Candara" w:hAnsi="Candara" w:cs="Times New Roman"/>
        </w:rPr>
        <w:t xml:space="preserve"> </w:t>
      </w:r>
      <w:r w:rsidR="00FD515A" w:rsidRPr="00895649">
        <w:rPr>
          <w:rFonts w:ascii="Candara" w:hAnsi="Candara" w:cs="Times New Roman"/>
        </w:rPr>
        <w:t>W Polsce prowadzi się obowiązkowe szczepienia noworodków (</w:t>
      </w:r>
      <w:r w:rsidR="00025F88" w:rsidRPr="00895649">
        <w:rPr>
          <w:rFonts w:ascii="Candara" w:hAnsi="Candara" w:cs="Times New Roman"/>
        </w:rPr>
        <w:t>od 1996 r.</w:t>
      </w:r>
      <w:r w:rsidR="00FD515A" w:rsidRPr="00895649">
        <w:rPr>
          <w:rFonts w:ascii="Candara" w:hAnsi="Candara" w:cs="Times New Roman"/>
        </w:rPr>
        <w:t>)</w:t>
      </w:r>
      <w:r w:rsidR="00025F88" w:rsidRPr="00895649">
        <w:rPr>
          <w:rFonts w:ascii="Candara" w:hAnsi="Candara" w:cs="Times New Roman"/>
        </w:rPr>
        <w:t xml:space="preserve"> oraz osób szczególnie narażonych na zakażenie – wykonujących zawód medyczny, </w:t>
      </w:r>
      <w:r w:rsidR="00A11A01">
        <w:rPr>
          <w:rFonts w:ascii="Candara" w:hAnsi="Candara" w:cs="Times New Roman"/>
        </w:rPr>
        <w:t xml:space="preserve">uczniów szkół medycznych i </w:t>
      </w:r>
      <w:r w:rsidR="00025F88" w:rsidRPr="00895649">
        <w:rPr>
          <w:rFonts w:ascii="Candara" w:hAnsi="Candara" w:cs="Times New Roman"/>
        </w:rPr>
        <w:t>studentów uczelni medycznych , osób z</w:t>
      </w:r>
      <w:r w:rsidR="00C10085" w:rsidRPr="00895649">
        <w:rPr>
          <w:rFonts w:ascii="Candara" w:hAnsi="Candara" w:cs="Times New Roman"/>
        </w:rPr>
        <w:t>e</w:t>
      </w:r>
      <w:r w:rsidR="00025F88" w:rsidRPr="00895649">
        <w:rPr>
          <w:rFonts w:ascii="Candara" w:hAnsi="Candara" w:cs="Times New Roman"/>
        </w:rPr>
        <w:t xml:space="preserve"> </w:t>
      </w:r>
      <w:r w:rsidR="00C10085" w:rsidRPr="00895649">
        <w:rPr>
          <w:rFonts w:ascii="Candara" w:hAnsi="Candara" w:cs="Times New Roman"/>
        </w:rPr>
        <w:t>styczności</w:t>
      </w:r>
      <w:r w:rsidR="00025F88" w:rsidRPr="00895649">
        <w:rPr>
          <w:rFonts w:ascii="Candara" w:hAnsi="Candara" w:cs="Times New Roman"/>
        </w:rPr>
        <w:t xml:space="preserve"> z zakażonymi HBV</w:t>
      </w:r>
      <w:r w:rsidR="00895649">
        <w:rPr>
          <w:rFonts w:ascii="Candara" w:hAnsi="Candara" w:cs="Times New Roman"/>
        </w:rPr>
        <w:t xml:space="preserve"> oraz osób zakażonych wirusem HCV.</w:t>
      </w:r>
      <w:r w:rsidR="00FD515A" w:rsidRPr="00895649">
        <w:rPr>
          <w:rFonts w:ascii="Candara" w:hAnsi="Candara" w:cs="Times New Roman"/>
        </w:rPr>
        <w:t xml:space="preserve"> </w:t>
      </w:r>
      <w:r w:rsidR="008263A8" w:rsidRPr="00895649">
        <w:rPr>
          <w:rFonts w:ascii="Candara" w:hAnsi="Candara" w:cs="Times New Roman"/>
        </w:rPr>
        <w:t>W krwiodawstwie prowadzi się obowiązkowe badania przesiewowe dawców i kandydatów na dawców– osoby zakażone HBV są dyskwalifikowane.</w:t>
      </w:r>
      <w:r w:rsidR="00312092" w:rsidRPr="00895649">
        <w:rPr>
          <w:rFonts w:ascii="Candara" w:hAnsi="Candara" w:cs="Times New Roman"/>
        </w:rPr>
        <w:t xml:space="preserve"> Zasadnicze znaczenie ma aseptyczne postępowanie personelu w zakładach ochrony zdrowia, </w:t>
      </w:r>
      <w:r w:rsidR="00C10085" w:rsidRPr="00895649">
        <w:rPr>
          <w:rFonts w:ascii="Candara" w:hAnsi="Candara" w:cs="Times New Roman"/>
        </w:rPr>
        <w:t xml:space="preserve">utrzymywanie </w:t>
      </w:r>
      <w:r w:rsidR="00312092" w:rsidRPr="00895649">
        <w:rPr>
          <w:rFonts w:ascii="Candara" w:hAnsi="Candara" w:cs="Times New Roman"/>
        </w:rPr>
        <w:t>dobr</w:t>
      </w:r>
      <w:r w:rsidR="00C10085" w:rsidRPr="00895649">
        <w:rPr>
          <w:rFonts w:ascii="Candara" w:hAnsi="Candara" w:cs="Times New Roman"/>
        </w:rPr>
        <w:t>ego</w:t>
      </w:r>
      <w:r w:rsidR="00312092" w:rsidRPr="00895649">
        <w:rPr>
          <w:rFonts w:ascii="Candara" w:hAnsi="Candara" w:cs="Times New Roman"/>
        </w:rPr>
        <w:t xml:space="preserve"> stan</w:t>
      </w:r>
      <w:r w:rsidR="00C10085" w:rsidRPr="00895649">
        <w:rPr>
          <w:rFonts w:ascii="Candara" w:hAnsi="Candara" w:cs="Times New Roman"/>
        </w:rPr>
        <w:t>u</w:t>
      </w:r>
      <w:r w:rsidR="00312092" w:rsidRPr="00895649">
        <w:rPr>
          <w:rFonts w:ascii="Candara" w:hAnsi="Candara" w:cs="Times New Roman"/>
        </w:rPr>
        <w:t xml:space="preserve"> sanitarn</w:t>
      </w:r>
      <w:r w:rsidR="00C10085" w:rsidRPr="00895649">
        <w:rPr>
          <w:rFonts w:ascii="Candara" w:hAnsi="Candara" w:cs="Times New Roman"/>
        </w:rPr>
        <w:t>ego</w:t>
      </w:r>
      <w:r w:rsidR="00312092" w:rsidRPr="00895649">
        <w:rPr>
          <w:rFonts w:ascii="Candara" w:hAnsi="Candara" w:cs="Times New Roman"/>
        </w:rPr>
        <w:t xml:space="preserve">, </w:t>
      </w:r>
      <w:r w:rsidR="00C10085" w:rsidRPr="00895649">
        <w:rPr>
          <w:rFonts w:ascii="Candara" w:hAnsi="Candara" w:cs="Times New Roman"/>
        </w:rPr>
        <w:t xml:space="preserve">odpowiednia ilość </w:t>
      </w:r>
      <w:r w:rsidR="00312092" w:rsidRPr="00895649">
        <w:rPr>
          <w:rFonts w:ascii="Candara" w:hAnsi="Candara" w:cs="Times New Roman"/>
        </w:rPr>
        <w:t xml:space="preserve">sprzętu jednorazowego użytku </w:t>
      </w:r>
      <w:r w:rsidR="00C10085" w:rsidRPr="00895649">
        <w:rPr>
          <w:rFonts w:ascii="Candara" w:hAnsi="Candara" w:cs="Times New Roman"/>
        </w:rPr>
        <w:t xml:space="preserve">oraz właściwa </w:t>
      </w:r>
      <w:r w:rsidR="00312092" w:rsidRPr="00895649">
        <w:rPr>
          <w:rFonts w:ascii="Candara" w:hAnsi="Candara" w:cs="Times New Roman"/>
        </w:rPr>
        <w:t>steryliz</w:t>
      </w:r>
      <w:r w:rsidR="00C10085" w:rsidRPr="00895649">
        <w:rPr>
          <w:rFonts w:ascii="Candara" w:hAnsi="Candara" w:cs="Times New Roman"/>
        </w:rPr>
        <w:t>acja</w:t>
      </w:r>
      <w:r w:rsidR="00312092" w:rsidRPr="00895649">
        <w:rPr>
          <w:rFonts w:ascii="Candara" w:hAnsi="Candara" w:cs="Times New Roman"/>
        </w:rPr>
        <w:t xml:space="preserve"> sprzętu wielokrotnego użytku. </w:t>
      </w:r>
      <w:r w:rsidR="00C10085" w:rsidRPr="00895649">
        <w:rPr>
          <w:rFonts w:ascii="Candara" w:hAnsi="Candara" w:cs="Times New Roman"/>
        </w:rPr>
        <w:t xml:space="preserve">Stosowanie prezerwatywy chroni przed zakażeniem </w:t>
      </w:r>
      <w:r w:rsidR="00257992" w:rsidRPr="00895649">
        <w:rPr>
          <w:rFonts w:ascii="Candara" w:hAnsi="Candara" w:cs="Times New Roman"/>
        </w:rPr>
        <w:t>poprzez</w:t>
      </w:r>
      <w:r w:rsidR="00C10085" w:rsidRPr="00895649">
        <w:rPr>
          <w:rFonts w:ascii="Candara" w:hAnsi="Candara" w:cs="Times New Roman"/>
        </w:rPr>
        <w:t xml:space="preserve"> kontakt</w:t>
      </w:r>
      <w:r w:rsidR="00257992" w:rsidRPr="00895649">
        <w:rPr>
          <w:rFonts w:ascii="Candara" w:hAnsi="Candara" w:cs="Times New Roman"/>
        </w:rPr>
        <w:t>y</w:t>
      </w:r>
      <w:r w:rsidR="00C10085" w:rsidRPr="00895649">
        <w:rPr>
          <w:rFonts w:ascii="Candara" w:hAnsi="Candara" w:cs="Times New Roman"/>
        </w:rPr>
        <w:t xml:space="preserve"> seksualn</w:t>
      </w:r>
      <w:r w:rsidR="00257992" w:rsidRPr="00895649">
        <w:rPr>
          <w:rFonts w:ascii="Candara" w:hAnsi="Candara" w:cs="Times New Roman"/>
        </w:rPr>
        <w:t>e.</w:t>
      </w:r>
    </w:p>
    <w:p w:rsidR="008B7D03" w:rsidRDefault="008B7D03" w:rsidP="009F1857">
      <w:pPr>
        <w:pStyle w:val="Bezodstpw"/>
        <w:jc w:val="both"/>
        <w:rPr>
          <w:rFonts w:ascii="Candara" w:hAnsi="Candara" w:cs="Times New Roman"/>
        </w:rPr>
      </w:pPr>
      <w:r w:rsidRPr="008B7D03">
        <w:rPr>
          <w:rFonts w:ascii="Candara" w:hAnsi="Candara" w:cs="Times New Roman"/>
        </w:rPr>
        <w:t>Po ekspozycji osób nieszczepionych stosuje się uodpornienie bierno-czynne z podaniem immunoglobuliny ludzkiej anty-HBs.</w:t>
      </w:r>
    </w:p>
    <w:p w:rsidR="00293655" w:rsidRDefault="00293655" w:rsidP="009F1857">
      <w:pPr>
        <w:pStyle w:val="Bezodstpw"/>
        <w:jc w:val="both"/>
        <w:rPr>
          <w:rFonts w:ascii="Candara" w:hAnsi="Candara" w:cs="Times New Roman"/>
        </w:rPr>
      </w:pPr>
    </w:p>
    <w:p w:rsidR="00293655" w:rsidRDefault="00293655" w:rsidP="009F1857">
      <w:pPr>
        <w:pStyle w:val="Bezodstpw"/>
        <w:jc w:val="both"/>
        <w:rPr>
          <w:rFonts w:ascii="Candara" w:hAnsi="Candara" w:cs="Times New Roman"/>
        </w:rPr>
      </w:pPr>
    </w:p>
    <w:p w:rsidR="00293655" w:rsidRDefault="00A91567" w:rsidP="009F1857">
      <w:pPr>
        <w:pStyle w:val="Bezodstpw"/>
        <w:jc w:val="both"/>
        <w:rPr>
          <w:rFonts w:ascii="Candara" w:hAnsi="Candara" w:cs="Times New Roman"/>
        </w:rPr>
      </w:pPr>
      <w:r w:rsidRPr="00A91567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193818FE" wp14:editId="182389EA">
            <wp:extent cx="4156137" cy="2847975"/>
            <wp:effectExtent l="0" t="0" r="0" b="0"/>
            <wp:docPr id="1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826" t="14118" r="28760" b="2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847" cy="286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567" w:rsidRDefault="00293655" w:rsidP="00A91567">
      <w:pPr>
        <w:pStyle w:val="Bezodstpw"/>
        <w:rPr>
          <w:rFonts w:ascii="Candara" w:hAnsi="Candara" w:cs="Times New Roman"/>
        </w:rPr>
      </w:pPr>
      <w:r w:rsidRPr="00FF5270">
        <w:rPr>
          <w:rFonts w:ascii="Candara" w:hAnsi="Candara" w:cs="Times New Roman"/>
          <w:b/>
          <w:i/>
        </w:rPr>
        <w:t>Ryc.3.</w:t>
      </w:r>
      <w:r w:rsidRPr="00C52B7D">
        <w:rPr>
          <w:rFonts w:ascii="Candara" w:hAnsi="Candara" w:cs="Times New Roman"/>
        </w:rPr>
        <w:t xml:space="preserve"> Szczepienie jest najskuteczniejszą metodą zapobiegania WZW B. Pierwsza dawka szczepionki powinna być podana w ciągu pierwszych 24 godz. życia.</w:t>
      </w:r>
    </w:p>
    <w:p w:rsidR="00A91567" w:rsidRDefault="00A91567" w:rsidP="00A91567">
      <w:pPr>
        <w:pStyle w:val="Bezodstpw"/>
        <w:rPr>
          <w:rFonts w:ascii="Candara" w:hAnsi="Candara" w:cs="Times New Roman"/>
          <w:sz w:val="20"/>
          <w:szCs w:val="20"/>
          <w:lang w:val="en-GB"/>
        </w:rPr>
      </w:pPr>
      <w:r w:rsidRPr="00A91567">
        <w:rPr>
          <w:rFonts w:ascii="Candara" w:hAnsi="Candara" w:cs="Times New Roman"/>
          <w:sz w:val="20"/>
          <w:szCs w:val="20"/>
          <w:lang w:val="en-GB"/>
        </w:rPr>
        <w:t xml:space="preserve">Źródło: WHO, European Vaccine Action Plan 2015–2020 </w:t>
      </w:r>
    </w:p>
    <w:p w:rsidR="00C64341" w:rsidRDefault="00C64341" w:rsidP="00A91567">
      <w:pPr>
        <w:pStyle w:val="Bezodstpw"/>
        <w:rPr>
          <w:rFonts w:ascii="Candara" w:hAnsi="Candara" w:cs="Times New Roman"/>
          <w:sz w:val="20"/>
          <w:szCs w:val="20"/>
          <w:lang w:val="en-GB"/>
        </w:rPr>
      </w:pPr>
    </w:p>
    <w:p w:rsidR="00C64341" w:rsidRDefault="00C64341" w:rsidP="00C64341">
      <w:pPr>
        <w:pStyle w:val="Bezodstpw"/>
        <w:jc w:val="both"/>
        <w:rPr>
          <w:rFonts w:ascii="Candara" w:hAnsi="Candara" w:cs="Times New Roman"/>
        </w:rPr>
      </w:pPr>
      <w:r w:rsidRPr="00895649">
        <w:rPr>
          <w:rFonts w:ascii="Candara" w:hAnsi="Candara" w:cs="Times New Roman"/>
          <w:b/>
        </w:rPr>
        <w:t xml:space="preserve">Diagnostyka: </w:t>
      </w:r>
      <w:r w:rsidRPr="00D8505B">
        <w:rPr>
          <w:rFonts w:ascii="Candara" w:hAnsi="Candara" w:cs="Times New Roman"/>
        </w:rPr>
        <w:t>najczęściej wykonywanym</w:t>
      </w:r>
      <w:r>
        <w:rPr>
          <w:rFonts w:ascii="Candara" w:hAnsi="Candara" w:cs="Times New Roman"/>
          <w:b/>
        </w:rPr>
        <w:t xml:space="preserve"> </w:t>
      </w:r>
      <w:r>
        <w:rPr>
          <w:rFonts w:ascii="Candara" w:hAnsi="Candara" w:cs="Times New Roman"/>
        </w:rPr>
        <w:t>badaniem diagnostycznym w zakażeniu HBV jest badanie antygenu HBs (HBsAg), który jest j</w:t>
      </w:r>
      <w:r w:rsidRPr="00D8505B">
        <w:rPr>
          <w:rFonts w:ascii="Candara" w:hAnsi="Candara" w:cs="Times New Roman"/>
        </w:rPr>
        <w:t>ednym z pierwszych marker</w:t>
      </w:r>
      <w:r>
        <w:rPr>
          <w:rFonts w:ascii="Candara" w:hAnsi="Candara" w:cs="Times New Roman"/>
        </w:rPr>
        <w:t xml:space="preserve">ów pojawiających się w surowicy, a jego obecność świadczy o ostrym lub przewlekłym zakażeniu HBV. Innymi markerami potwierdzającymi aktualne zakażenie HBV są: anty-HBc IgM, HBe Ag, HBV-DNA. W celu rozpoznania fazy zakażenia niezbędne jest oznaczenie zestawu markerów, interpretacji wyników (kombinacji wyników) dokonuje lekarz specjalista.  </w:t>
      </w:r>
    </w:p>
    <w:p w:rsidR="00C64341" w:rsidRPr="00C64341" w:rsidRDefault="00C64341" w:rsidP="00C64341">
      <w:pPr>
        <w:pStyle w:val="Bezodstpw"/>
        <w:jc w:val="both"/>
        <w:rPr>
          <w:rFonts w:ascii="Candara" w:hAnsi="Candara" w:cs="Times New Roman"/>
        </w:rPr>
      </w:pPr>
      <w:r>
        <w:rPr>
          <w:rFonts w:ascii="Candara" w:hAnsi="Candara" w:cs="Times New Roman"/>
        </w:rPr>
        <w:t xml:space="preserve">U </w:t>
      </w:r>
      <w:r w:rsidRPr="005516CE">
        <w:rPr>
          <w:rFonts w:ascii="Candara" w:hAnsi="Candara" w:cs="Times New Roman"/>
        </w:rPr>
        <w:t xml:space="preserve">osób skutecznie </w:t>
      </w:r>
      <w:r>
        <w:rPr>
          <w:rFonts w:ascii="Candara" w:hAnsi="Candara" w:cs="Times New Roman"/>
        </w:rPr>
        <w:t>za</w:t>
      </w:r>
      <w:r w:rsidRPr="005516CE">
        <w:rPr>
          <w:rFonts w:ascii="Candara" w:hAnsi="Candara" w:cs="Times New Roman"/>
        </w:rPr>
        <w:t xml:space="preserve">szczepionych </w:t>
      </w:r>
      <w:r>
        <w:rPr>
          <w:rFonts w:ascii="Candara" w:hAnsi="Candara" w:cs="Times New Roman"/>
        </w:rPr>
        <w:t>przeciw wzw B obecne są przeciwciała anty-HBs</w:t>
      </w:r>
      <w:r w:rsidRPr="005516CE">
        <w:rPr>
          <w:rFonts w:ascii="Candara" w:hAnsi="Candara" w:cs="Times New Roman"/>
        </w:rPr>
        <w:t xml:space="preserve">, </w:t>
      </w:r>
      <w:r>
        <w:rPr>
          <w:rFonts w:ascii="Candara" w:hAnsi="Candara" w:cs="Times New Roman"/>
        </w:rPr>
        <w:t>pojawiają się one również</w:t>
      </w:r>
      <w:r w:rsidRPr="005516CE">
        <w:rPr>
          <w:rFonts w:ascii="Candara" w:hAnsi="Candara" w:cs="Times New Roman"/>
        </w:rPr>
        <w:t xml:space="preserve"> </w:t>
      </w:r>
      <w:r>
        <w:rPr>
          <w:rFonts w:ascii="Candara" w:hAnsi="Candara" w:cs="Times New Roman"/>
        </w:rPr>
        <w:t xml:space="preserve">w </w:t>
      </w:r>
      <w:r w:rsidRPr="005516CE">
        <w:rPr>
          <w:rFonts w:ascii="Candara" w:hAnsi="Candara" w:cs="Times New Roman"/>
        </w:rPr>
        <w:t>procesie zdrowienia u osób zakażonych</w:t>
      </w:r>
      <w:r>
        <w:rPr>
          <w:rFonts w:ascii="Candara" w:hAnsi="Candara" w:cs="Times New Roman"/>
        </w:rPr>
        <w:t xml:space="preserve"> po eliminacji HBsAg.</w:t>
      </w:r>
    </w:p>
    <w:p w:rsidR="00293655" w:rsidRPr="00C64341" w:rsidRDefault="00293655" w:rsidP="009F1857">
      <w:pPr>
        <w:pStyle w:val="Bezodstpw"/>
        <w:jc w:val="both"/>
        <w:rPr>
          <w:rFonts w:ascii="Candara" w:hAnsi="Candara" w:cs="Times New Roman"/>
          <w:b/>
        </w:rPr>
      </w:pPr>
    </w:p>
    <w:p w:rsidR="008B7D03" w:rsidRDefault="00CC60B0" w:rsidP="00676365">
      <w:pPr>
        <w:pStyle w:val="Bezodstpw"/>
        <w:jc w:val="both"/>
        <w:rPr>
          <w:rFonts w:ascii="Candara" w:hAnsi="Candara" w:cs="Times New Roman"/>
        </w:rPr>
      </w:pPr>
      <w:r w:rsidRPr="00895649">
        <w:rPr>
          <w:rFonts w:ascii="Candara" w:hAnsi="Candara" w:cs="Times New Roman"/>
          <w:b/>
        </w:rPr>
        <w:t xml:space="preserve">Leczenie: </w:t>
      </w:r>
      <w:r w:rsidR="00257992" w:rsidRPr="00895649">
        <w:rPr>
          <w:rFonts w:ascii="Candara" w:hAnsi="Candara" w:cs="Times New Roman"/>
        </w:rPr>
        <w:t>W ostrym WZW B brak leczenia swoistego, w</w:t>
      </w:r>
      <w:r w:rsidR="00EC6859" w:rsidRPr="00895649">
        <w:rPr>
          <w:rFonts w:ascii="Candara" w:hAnsi="Candara" w:cs="Times New Roman"/>
        </w:rPr>
        <w:t xml:space="preserve"> przewlekłym WZW B stosowane </w:t>
      </w:r>
      <w:r w:rsidR="00257992" w:rsidRPr="00895649">
        <w:rPr>
          <w:rFonts w:ascii="Candara" w:hAnsi="Candara" w:cs="Times New Roman"/>
        </w:rPr>
        <w:t xml:space="preserve">są </w:t>
      </w:r>
      <w:r w:rsidR="00EC6859" w:rsidRPr="00895649">
        <w:rPr>
          <w:rFonts w:ascii="Candara" w:hAnsi="Candara" w:cs="Times New Roman"/>
        </w:rPr>
        <w:t xml:space="preserve">preparaty przeciwwirusowe. </w:t>
      </w:r>
      <w:r w:rsidR="00C64341">
        <w:rPr>
          <w:rFonts w:ascii="Candara" w:hAnsi="Candara" w:cs="Times New Roman"/>
        </w:rPr>
        <w:t xml:space="preserve">Obecnie dostępne leki (interferony oraz analogi nukleozydowe i nukleotydowe) nie dają możliwości całkowitej eradykacji </w:t>
      </w:r>
      <w:r w:rsidR="008B7D03">
        <w:rPr>
          <w:rFonts w:ascii="Candara" w:hAnsi="Candara" w:cs="Times New Roman"/>
        </w:rPr>
        <w:t xml:space="preserve">wirusa z </w:t>
      </w:r>
      <w:r w:rsidR="00257992" w:rsidRPr="00895649">
        <w:rPr>
          <w:rFonts w:ascii="Candara" w:hAnsi="Candara" w:cs="Times New Roman"/>
        </w:rPr>
        <w:t xml:space="preserve"> </w:t>
      </w:r>
      <w:r w:rsidR="008B7D03" w:rsidRPr="008B7D03">
        <w:rPr>
          <w:rFonts w:ascii="Candara" w:hAnsi="Candara" w:cs="Times New Roman"/>
        </w:rPr>
        <w:t xml:space="preserve">powodu </w:t>
      </w:r>
      <w:r w:rsidR="008B7D03">
        <w:rPr>
          <w:rFonts w:ascii="Candara" w:hAnsi="Candara" w:cs="Times New Roman"/>
        </w:rPr>
        <w:t xml:space="preserve">przetrwania </w:t>
      </w:r>
      <w:r w:rsidR="008B7D03" w:rsidRPr="008B7D03">
        <w:rPr>
          <w:rFonts w:ascii="Candara" w:hAnsi="Candara" w:cs="Times New Roman"/>
        </w:rPr>
        <w:t>DNA HBV</w:t>
      </w:r>
      <w:r w:rsidR="008B7D03">
        <w:rPr>
          <w:rFonts w:ascii="Candara" w:hAnsi="Candara" w:cs="Times New Roman"/>
        </w:rPr>
        <w:t xml:space="preserve"> </w:t>
      </w:r>
      <w:r w:rsidR="008B7D03">
        <w:rPr>
          <w:rFonts w:ascii="Candara" w:hAnsi="Candara" w:cs="Times New Roman"/>
        </w:rPr>
        <w:lastRenderedPageBreak/>
        <w:t xml:space="preserve">w postaci </w:t>
      </w:r>
      <w:r w:rsidR="008B7D03" w:rsidRPr="008B7D03">
        <w:rPr>
          <w:rFonts w:ascii="Candara" w:hAnsi="Candara" w:cs="Times New Roman"/>
        </w:rPr>
        <w:t>episomalnej (covalently closed circular</w:t>
      </w:r>
      <w:r w:rsidR="008B7D03">
        <w:rPr>
          <w:rFonts w:ascii="Candara" w:hAnsi="Candara" w:cs="Times New Roman"/>
        </w:rPr>
        <w:t xml:space="preserve"> </w:t>
      </w:r>
      <w:r w:rsidR="008B7D03" w:rsidRPr="008B7D03">
        <w:rPr>
          <w:rFonts w:ascii="Candara" w:hAnsi="Candara" w:cs="Times New Roman"/>
        </w:rPr>
        <w:t>DNA, ccc DNA)</w:t>
      </w:r>
      <w:r w:rsidR="008B7D03">
        <w:rPr>
          <w:rFonts w:ascii="Candara" w:hAnsi="Candara" w:cs="Times New Roman"/>
        </w:rPr>
        <w:t>. Leki stosuje się w celu uzyskania zahamowania replikacji wirusa i trwałego zaniku HBV DNA w surowicy. Zahamowanie replikacji HBV prowadzi do zahamowania włóknienia wątroby postępującego w p</w:t>
      </w:r>
      <w:r w:rsidR="00676365">
        <w:rPr>
          <w:rFonts w:ascii="Candara" w:hAnsi="Candara" w:cs="Times New Roman"/>
        </w:rPr>
        <w:t xml:space="preserve">rzebiegu przewlekłego zakażenia oraz do zmniejszenia ryzyka rozwoju raka wątrobowokomórkowego. Leki stosuje się również u osób po </w:t>
      </w:r>
      <w:r w:rsidR="00676365" w:rsidRPr="00676365">
        <w:rPr>
          <w:rFonts w:ascii="Candara" w:hAnsi="Candara" w:cs="Times New Roman"/>
        </w:rPr>
        <w:t xml:space="preserve">przeszczepieniu wątroby z powodu marskości </w:t>
      </w:r>
      <w:r w:rsidR="00676365">
        <w:rPr>
          <w:rFonts w:ascii="Candara" w:hAnsi="Candara" w:cs="Times New Roman"/>
        </w:rPr>
        <w:t>w przebiegu WZW B</w:t>
      </w:r>
      <w:r w:rsidR="00676365" w:rsidRPr="00676365">
        <w:t xml:space="preserve"> </w:t>
      </w:r>
      <w:r w:rsidR="00676365">
        <w:t xml:space="preserve">w celu </w:t>
      </w:r>
      <w:r w:rsidR="00676365" w:rsidRPr="00676365">
        <w:rPr>
          <w:rFonts w:ascii="Candara" w:hAnsi="Candara" w:cs="Times New Roman"/>
        </w:rPr>
        <w:t>zapobiegania reaktywacji zakażenia HBV</w:t>
      </w:r>
      <w:r w:rsidR="00676365">
        <w:rPr>
          <w:rFonts w:ascii="Candara" w:hAnsi="Candara" w:cs="Times New Roman"/>
        </w:rPr>
        <w:t>.</w:t>
      </w:r>
    </w:p>
    <w:p w:rsidR="00074928" w:rsidRPr="00895649" w:rsidRDefault="00074928" w:rsidP="009F1857">
      <w:pPr>
        <w:pStyle w:val="Bezodstpw"/>
        <w:jc w:val="both"/>
        <w:rPr>
          <w:rFonts w:ascii="Candara" w:hAnsi="Candara" w:cs="Times New Roman"/>
        </w:rPr>
      </w:pPr>
    </w:p>
    <w:p w:rsidR="004005AE" w:rsidRPr="004005AE" w:rsidRDefault="00CC60B0" w:rsidP="009F1857">
      <w:pPr>
        <w:pStyle w:val="Bezodstpw"/>
        <w:jc w:val="both"/>
        <w:rPr>
          <w:rFonts w:ascii="Candara" w:hAnsi="Candara" w:cs="Times New Roman"/>
        </w:rPr>
      </w:pPr>
      <w:r w:rsidRPr="00895649">
        <w:rPr>
          <w:rFonts w:ascii="Candara" w:hAnsi="Candara" w:cs="Times New Roman"/>
          <w:b/>
        </w:rPr>
        <w:t xml:space="preserve">Występowanie: </w:t>
      </w:r>
      <w:r w:rsidR="005F621A" w:rsidRPr="00895649">
        <w:rPr>
          <w:rFonts w:ascii="Candara" w:hAnsi="Candara" w:cs="Times New Roman"/>
          <w:b/>
        </w:rPr>
        <w:t xml:space="preserve">świat i Europa: </w:t>
      </w:r>
      <w:r w:rsidR="005F621A" w:rsidRPr="00895649">
        <w:rPr>
          <w:rFonts w:ascii="Candara" w:hAnsi="Candara" w:cs="Times New Roman"/>
        </w:rPr>
        <w:t>Zachorowania na W</w:t>
      </w:r>
      <w:r w:rsidR="00B249C1" w:rsidRPr="00895649">
        <w:rPr>
          <w:rFonts w:ascii="Candara" w:hAnsi="Candara" w:cs="Times New Roman"/>
        </w:rPr>
        <w:t>ZW B występują na całym świecie; szacuje się , że przewlekle zakażonych jest</w:t>
      </w:r>
      <w:r w:rsidR="005F621A" w:rsidRPr="00895649">
        <w:rPr>
          <w:rFonts w:ascii="Candara" w:hAnsi="Candara" w:cs="Times New Roman"/>
        </w:rPr>
        <w:t xml:space="preserve"> </w:t>
      </w:r>
      <w:r w:rsidR="00B249C1" w:rsidRPr="00895649">
        <w:rPr>
          <w:rFonts w:ascii="Candara" w:hAnsi="Candara" w:cs="Times New Roman"/>
        </w:rPr>
        <w:t>2</w:t>
      </w:r>
      <w:r w:rsidR="005516CE">
        <w:rPr>
          <w:rFonts w:ascii="Candara" w:hAnsi="Candara" w:cs="Times New Roman"/>
        </w:rPr>
        <w:t>57</w:t>
      </w:r>
      <w:r w:rsidR="00B249C1" w:rsidRPr="00895649">
        <w:rPr>
          <w:rFonts w:ascii="Candara" w:hAnsi="Candara" w:cs="Times New Roman"/>
        </w:rPr>
        <w:t xml:space="preserve"> mln ludzi</w:t>
      </w:r>
      <w:r w:rsidR="00210AF5">
        <w:rPr>
          <w:rFonts w:ascii="Candara" w:hAnsi="Candara" w:cs="Times New Roman"/>
        </w:rPr>
        <w:t xml:space="preserve"> (</w:t>
      </w:r>
      <w:r w:rsidR="00210AF5" w:rsidRPr="00210AF5">
        <w:rPr>
          <w:rFonts w:ascii="Candara" w:hAnsi="Candara" w:cs="Times New Roman"/>
        </w:rPr>
        <w:t>tj. 3,5% populacji światowej</w:t>
      </w:r>
      <w:r w:rsidR="00210AF5">
        <w:rPr>
          <w:rFonts w:ascii="Candara" w:hAnsi="Candara" w:cs="Times New Roman"/>
        </w:rPr>
        <w:t>)</w:t>
      </w:r>
      <w:r w:rsidR="00B249C1" w:rsidRPr="00895649">
        <w:rPr>
          <w:rFonts w:ascii="Candara" w:hAnsi="Candara" w:cs="Times New Roman"/>
        </w:rPr>
        <w:t xml:space="preserve">. Najwyższe </w:t>
      </w:r>
      <w:r w:rsidR="004005AE" w:rsidRPr="004005AE">
        <w:rPr>
          <w:rFonts w:ascii="Candara" w:hAnsi="Candara" w:cs="Times New Roman"/>
        </w:rPr>
        <w:t>rozpowszechnienie WZW B (5-10%) notuje się  w krajach Afryki Subsaharyjskiej i w Azji Wschodniej, w krajach Regionu Europejskiego WHO ok. 1,6% populacji osób dorosłych jest przewlekle zakażonych.</w:t>
      </w:r>
    </w:p>
    <w:p w:rsidR="004005AE" w:rsidRDefault="004005AE" w:rsidP="009F1857">
      <w:pPr>
        <w:pStyle w:val="Bezodstpw"/>
        <w:jc w:val="both"/>
        <w:rPr>
          <w:rFonts w:ascii="Candara" w:hAnsi="Candara" w:cs="Times New Roman"/>
        </w:rPr>
      </w:pPr>
      <w:r w:rsidRPr="004005AE">
        <w:rPr>
          <w:rFonts w:ascii="Candara" w:hAnsi="Candara" w:cs="Times New Roman"/>
        </w:rPr>
        <w:t>Polska: W Polsce szacuje się liczbę przewlekle zakażonych HBV na około 1% populacji. Zapadalność jest zbliżona do niektórych krajów zachodnioeuropejskich. Ponad 90% wykrywanych zachorowań stanowią zachorowania na przewlekłe WZW B.</w:t>
      </w:r>
    </w:p>
    <w:p w:rsidR="00074928" w:rsidRDefault="00074928" w:rsidP="009F1857">
      <w:pPr>
        <w:pStyle w:val="Bezodstpw"/>
        <w:jc w:val="both"/>
        <w:rPr>
          <w:rFonts w:ascii="Candara" w:hAnsi="Candara" w:cs="Times New Roman"/>
        </w:rPr>
      </w:pPr>
    </w:p>
    <w:p w:rsidR="004005AE" w:rsidRDefault="004005AE" w:rsidP="009F1857">
      <w:pPr>
        <w:pStyle w:val="Bezodstpw"/>
        <w:jc w:val="both"/>
        <w:rPr>
          <w:rFonts w:ascii="Candara" w:hAnsi="Candara" w:cs="Times New Roman"/>
        </w:rPr>
      </w:pPr>
      <w:r w:rsidRPr="005F554C">
        <w:rPr>
          <w:rFonts w:ascii="Candara" w:hAnsi="Candara" w:cs="Times New Roman"/>
          <w:b/>
        </w:rPr>
        <w:t>Nadzór nad WZW B w Polsce</w:t>
      </w:r>
      <w:r>
        <w:rPr>
          <w:rFonts w:ascii="Candara" w:hAnsi="Candara" w:cs="Times New Roman"/>
        </w:rPr>
        <w:t>:</w:t>
      </w:r>
      <w:r w:rsidR="004B75F4">
        <w:rPr>
          <w:rFonts w:ascii="Candara" w:hAnsi="Candara" w:cs="Times New Roman"/>
        </w:rPr>
        <w:t xml:space="preserve"> </w:t>
      </w:r>
      <w:r w:rsidR="004B75F4" w:rsidRPr="004B75F4">
        <w:rPr>
          <w:rFonts w:ascii="Candara" w:hAnsi="Candara" w:cs="Times New Roman"/>
        </w:rPr>
        <w:t xml:space="preserve">Zachorowania na WZW typu B są rejestrowane w Polsce </w:t>
      </w:r>
      <w:r w:rsidR="004B75F4">
        <w:rPr>
          <w:rFonts w:ascii="Candara" w:hAnsi="Candara" w:cs="Times New Roman"/>
        </w:rPr>
        <w:t xml:space="preserve">jako odrębna jednostka </w:t>
      </w:r>
      <w:r w:rsidR="004B75F4" w:rsidRPr="004B75F4">
        <w:rPr>
          <w:rFonts w:ascii="Candara" w:hAnsi="Candara" w:cs="Times New Roman"/>
        </w:rPr>
        <w:t>od 1979 roku</w:t>
      </w:r>
      <w:r w:rsidR="004B75F4">
        <w:rPr>
          <w:rFonts w:ascii="Candara" w:hAnsi="Candara" w:cs="Times New Roman"/>
        </w:rPr>
        <w:t>. Wcześniej rejestrowano łącznie „Zakaźne zapalenia wątroby” obejmujące również WZW typu A. W 2005 r. wprowadzono do stosowania w nadzorze definicję przypadku ostrego WZW B – od tego czasu dostępne są dane pozwalające na zróżnicowanie zachorowań ostrych i przewlekłych. Dane o przypadkach nosicielstwa  antygenu HBs</w:t>
      </w:r>
      <w:r w:rsidR="00C86484">
        <w:rPr>
          <w:rFonts w:ascii="Candara" w:hAnsi="Candara" w:cs="Times New Roman"/>
        </w:rPr>
        <w:t>, które nie zostały zgłoszone do nadzoru jako zachorowania na wzw B, były rejestrowane lokalnie w PSSE w latach 1976</w:t>
      </w:r>
      <w:r w:rsidR="00C22028">
        <w:rPr>
          <w:rFonts w:ascii="Candara" w:hAnsi="Candara" w:cs="Times New Roman"/>
        </w:rPr>
        <w:t>-</w:t>
      </w:r>
      <w:r w:rsidR="00C86484">
        <w:rPr>
          <w:rFonts w:ascii="Candara" w:hAnsi="Candara" w:cs="Times New Roman"/>
        </w:rPr>
        <w:t>2013. Od 2014 r. obowiązuje definicja przypadku zarówno dla postaci ostrych jak i przewlekłych.</w:t>
      </w:r>
    </w:p>
    <w:p w:rsidR="006F20BF" w:rsidRDefault="006F20BF" w:rsidP="009F1857">
      <w:pPr>
        <w:pStyle w:val="Bezodstpw"/>
        <w:jc w:val="both"/>
        <w:rPr>
          <w:rFonts w:ascii="Candara" w:hAnsi="Candara" w:cs="Times New Roman"/>
        </w:rPr>
      </w:pPr>
    </w:p>
    <w:p w:rsidR="0026032E" w:rsidRDefault="00C86484" w:rsidP="009F1857">
      <w:pPr>
        <w:pStyle w:val="Bezodstpw"/>
        <w:jc w:val="both"/>
        <w:rPr>
          <w:rFonts w:ascii="Candara" w:hAnsi="Candara" w:cs="Times New Roman"/>
        </w:rPr>
      </w:pPr>
      <w:r w:rsidRPr="00C86484">
        <w:rPr>
          <w:rFonts w:ascii="Candara" w:hAnsi="Candara" w:cs="Times New Roman"/>
          <w:b/>
        </w:rPr>
        <w:t>Dane indywidualne o zachorowaniach:</w:t>
      </w:r>
      <w:r>
        <w:rPr>
          <w:rFonts w:ascii="Candara" w:hAnsi="Candara" w:cs="Times New Roman"/>
          <w:b/>
        </w:rPr>
        <w:t xml:space="preserve"> </w:t>
      </w:r>
      <w:r w:rsidRPr="00C86484">
        <w:rPr>
          <w:rFonts w:ascii="Candara" w:hAnsi="Candara" w:cs="Times New Roman"/>
        </w:rPr>
        <w:t>od 2016 r.</w:t>
      </w:r>
      <w:r>
        <w:rPr>
          <w:rFonts w:ascii="Candara" w:hAnsi="Candara" w:cs="Times New Roman"/>
          <w:b/>
        </w:rPr>
        <w:t xml:space="preserve"> </w:t>
      </w:r>
      <w:r w:rsidRPr="00C86484">
        <w:rPr>
          <w:rFonts w:ascii="Candara" w:hAnsi="Candara" w:cs="Times New Roman"/>
        </w:rPr>
        <w:t xml:space="preserve">indywidualne dane o zachorowaniach na WZW B </w:t>
      </w:r>
      <w:r>
        <w:rPr>
          <w:rFonts w:ascii="Candara" w:hAnsi="Candara" w:cs="Times New Roman"/>
        </w:rPr>
        <w:t xml:space="preserve">zgłoszonych do nadzoru epidemiologicznego gromadzone są poprzez elektroniczny System Rejestracji Wywiadów Epidemiologicznych – od tego roku </w:t>
      </w:r>
      <w:r w:rsidR="0026032E">
        <w:rPr>
          <w:rFonts w:ascii="Candara" w:hAnsi="Candara" w:cs="Times New Roman"/>
        </w:rPr>
        <w:t>dane udostępnione są całkowicie spójne z danymi wykazywanymi w sprawozdaniach zbiorczych MZ-56.</w:t>
      </w:r>
    </w:p>
    <w:p w:rsidR="008F51A6" w:rsidRDefault="008F51A6" w:rsidP="009F1857">
      <w:pPr>
        <w:pStyle w:val="Bezodstpw"/>
        <w:jc w:val="both"/>
        <w:rPr>
          <w:rFonts w:ascii="Candara" w:hAnsi="Candara" w:cs="Times New Roman"/>
        </w:rPr>
      </w:pPr>
      <w:bookmarkStart w:id="0" w:name="_GoBack"/>
      <w:bookmarkEnd w:id="0"/>
    </w:p>
    <w:p w:rsidR="004E4035" w:rsidRPr="004005AE" w:rsidRDefault="004E4035" w:rsidP="00965DA6">
      <w:pPr>
        <w:pStyle w:val="Bezodstpw"/>
        <w:rPr>
          <w:rFonts w:ascii="Candara" w:hAnsi="Candara" w:cs="Times New Roman"/>
        </w:rPr>
      </w:pPr>
    </w:p>
    <w:p w:rsidR="00A91567" w:rsidRPr="00D61134" w:rsidRDefault="00A91567" w:rsidP="00A91567">
      <w:pPr>
        <w:pStyle w:val="Bezodstpw"/>
        <w:rPr>
          <w:b/>
          <w:noProof/>
          <w:lang w:eastAsia="pl-PL"/>
        </w:rPr>
      </w:pPr>
      <w:r w:rsidRPr="00D61134">
        <w:rPr>
          <w:b/>
          <w:noProof/>
          <w:lang w:eastAsia="pl-PL"/>
        </w:rPr>
        <w:t>Dane o zachorowaniach na wzw B / nowych rozpoznaniach zakażenia HBV:</w:t>
      </w:r>
    </w:p>
    <w:p w:rsidR="00A91567" w:rsidRDefault="003D5517" w:rsidP="00A91567">
      <w:pPr>
        <w:pStyle w:val="Bezodstpw"/>
        <w:rPr>
          <w:noProof/>
          <w:lang w:eastAsia="pl-PL"/>
        </w:rPr>
      </w:pPr>
      <w:hyperlink r:id="rId10" w:history="1">
        <w:r w:rsidR="00A91567" w:rsidRPr="006620EE">
          <w:rPr>
            <w:rStyle w:val="Hipercze"/>
            <w:noProof/>
            <w:lang w:eastAsia="pl-PL"/>
          </w:rPr>
          <w:t>http://isp-szkolenia.pzh.gov.pl/dataset/hbv</w:t>
        </w:r>
      </w:hyperlink>
    </w:p>
    <w:p w:rsidR="00B576A5" w:rsidRDefault="00B576A5" w:rsidP="00965DA6">
      <w:pPr>
        <w:pStyle w:val="Bezodstpw"/>
        <w:rPr>
          <w:rFonts w:ascii="Candara" w:hAnsi="Candara" w:cs="Times New Roman"/>
        </w:rPr>
      </w:pPr>
    </w:p>
    <w:p w:rsidR="00A91567" w:rsidRDefault="00A91567" w:rsidP="00965DA6">
      <w:pPr>
        <w:pStyle w:val="Bezodstpw"/>
        <w:rPr>
          <w:rFonts w:ascii="Candara" w:hAnsi="Candara" w:cs="Times New Roman"/>
        </w:rPr>
      </w:pPr>
    </w:p>
    <w:p w:rsidR="00293655" w:rsidRDefault="00293655" w:rsidP="00965DA6">
      <w:pPr>
        <w:pStyle w:val="Bezodstpw"/>
        <w:rPr>
          <w:rFonts w:ascii="Candara" w:hAnsi="Candara" w:cs="Times New Roman"/>
        </w:rPr>
      </w:pPr>
    </w:p>
    <w:p w:rsidR="00C52B7D" w:rsidRPr="00BC4C91" w:rsidRDefault="00C52B7D" w:rsidP="00965DA6">
      <w:pPr>
        <w:pStyle w:val="Bezodstpw"/>
        <w:rPr>
          <w:rFonts w:ascii="Candara" w:hAnsi="Candara" w:cs="Times New Roman"/>
        </w:rPr>
      </w:pPr>
    </w:p>
    <w:p w:rsidR="0057762E" w:rsidRPr="0057762E" w:rsidRDefault="0057762E" w:rsidP="0057762E">
      <w:pPr>
        <w:pStyle w:val="Cytatintensywny"/>
        <w:spacing w:before="0" w:after="0" w:line="240" w:lineRule="auto"/>
        <w:jc w:val="left"/>
        <w:rPr>
          <w:rFonts w:ascii="Bahnschrift SemiLight" w:hAnsi="Bahnschrift SemiLight"/>
          <w:color w:val="003399"/>
        </w:rPr>
      </w:pPr>
      <w:r w:rsidRPr="0057762E">
        <w:rPr>
          <w:rFonts w:ascii="Bahnschrift SemiLight" w:hAnsi="Bahnschrift SemiLight"/>
          <w:color w:val="003399"/>
        </w:rPr>
        <w:t>DEFINICJA PRZYPADKU DO CELÓW NADZORU EPIDEMIOLOGICZNEGO</w:t>
      </w:r>
    </w:p>
    <w:p w:rsidR="0057762E" w:rsidRPr="0057762E" w:rsidRDefault="0057762E" w:rsidP="0057762E">
      <w:pPr>
        <w:pStyle w:val="Cytatintensywny"/>
        <w:spacing w:before="0" w:after="0" w:line="240" w:lineRule="auto"/>
        <w:jc w:val="left"/>
        <w:rPr>
          <w:rFonts w:ascii="Bahnschrift SemiLight" w:hAnsi="Bahnschrift SemiLight"/>
          <w:color w:val="003399"/>
        </w:rPr>
      </w:pPr>
      <w:r w:rsidRPr="0057762E">
        <w:rPr>
          <w:rFonts w:ascii="Bahnschrift SemiLight" w:hAnsi="Bahnschrift SemiLight"/>
          <w:color w:val="003399"/>
        </w:rPr>
        <w:t xml:space="preserve">WIRUSOWE ZAPALENIE WĄTROBY TYPU B </w:t>
      </w:r>
      <w:r w:rsidRPr="0057762E">
        <w:rPr>
          <w:rFonts w:ascii="Bahnschrift SemiLight" w:hAnsi="Bahnschrift SemiLight"/>
          <w:color w:val="003399"/>
          <w:vertAlign w:val="superscript"/>
        </w:rPr>
        <w:t>1)</w:t>
      </w:r>
      <w:r w:rsidRPr="0057762E">
        <w:rPr>
          <w:rFonts w:ascii="Bahnschrift SemiLight" w:hAnsi="Bahnschrift SemiLight"/>
          <w:color w:val="003399"/>
        </w:rPr>
        <w:t xml:space="preserve"> </w:t>
      </w:r>
      <w:r w:rsidRPr="0057762E">
        <w:rPr>
          <w:rFonts w:ascii="Bahnschrift SemiLight" w:hAnsi="Bahnschrift SemiLight"/>
          <w:color w:val="003399"/>
        </w:rPr>
        <w:tab/>
      </w:r>
      <w:r w:rsidRPr="0057762E">
        <w:rPr>
          <w:rFonts w:ascii="Bahnschrift SemiLight" w:hAnsi="Bahnschrift SemiLight"/>
          <w:color w:val="003399"/>
        </w:rPr>
        <w:tab/>
      </w:r>
      <w:r w:rsidRPr="0057762E">
        <w:rPr>
          <w:rFonts w:ascii="Bahnschrift SemiLight" w:hAnsi="Bahnschrift SemiLight"/>
          <w:color w:val="003399"/>
        </w:rPr>
        <w:tab/>
        <w:t>UE/PL</w:t>
      </w:r>
    </w:p>
    <w:p w:rsidR="0057762E" w:rsidRPr="0057762E" w:rsidRDefault="0057762E" w:rsidP="0057762E">
      <w:pPr>
        <w:autoSpaceDE w:val="0"/>
        <w:autoSpaceDN w:val="0"/>
        <w:adjustRightInd w:val="0"/>
        <w:spacing w:before="240" w:after="0"/>
        <w:ind w:left="156" w:firstLine="708"/>
        <w:rPr>
          <w:rFonts w:ascii="Arial Narrow" w:eastAsia="Calibri" w:hAnsi="Arial Narrow" w:cs="ArialMTPlCondRegular"/>
          <w:color w:val="000000"/>
        </w:rPr>
      </w:pPr>
      <w:r w:rsidRPr="0057762E">
        <w:rPr>
          <w:rFonts w:ascii="Arial Narrow" w:eastAsia="Calibri" w:hAnsi="Arial Narrow" w:cs="ArialMTPlCondRegular"/>
          <w:color w:val="000000"/>
        </w:rPr>
        <w:t xml:space="preserve"> (</w:t>
      </w:r>
      <w:r w:rsidRPr="0057762E">
        <w:rPr>
          <w:rFonts w:ascii="Arial Narrow" w:eastAsia="Calibri" w:hAnsi="Arial Narrow" w:cs="ArialMTPlCondRegular"/>
          <w:i/>
          <w:color w:val="000000"/>
        </w:rPr>
        <w:t>Wirus zapalenia wątroby typu B</w:t>
      </w:r>
      <w:r w:rsidRPr="0057762E">
        <w:rPr>
          <w:rFonts w:ascii="Arial Narrow" w:eastAsia="Calibri" w:hAnsi="Arial Narrow" w:cs="ArialMTPlCondRegular"/>
          <w:color w:val="000000"/>
        </w:rPr>
        <w:t>)</w:t>
      </w:r>
    </w:p>
    <w:p w:rsidR="0057762E" w:rsidRPr="0057762E" w:rsidRDefault="0057762E" w:rsidP="0057762E">
      <w:pPr>
        <w:autoSpaceDE w:val="0"/>
        <w:autoSpaceDN w:val="0"/>
        <w:adjustRightInd w:val="0"/>
        <w:spacing w:after="0"/>
        <w:rPr>
          <w:rFonts w:ascii="ArialMTPlCondRegular" w:eastAsia="Calibri" w:hAnsi="ArialMTPlCondRegular" w:cs="ArialMTPlCondRegular"/>
          <w:color w:val="000000"/>
        </w:rPr>
      </w:pPr>
    </w:p>
    <w:p w:rsidR="0057762E" w:rsidRPr="0057762E" w:rsidRDefault="0057762E" w:rsidP="0057762E">
      <w:pPr>
        <w:autoSpaceDE w:val="0"/>
        <w:autoSpaceDN w:val="0"/>
        <w:adjustRightInd w:val="0"/>
        <w:spacing w:after="0"/>
        <w:rPr>
          <w:rFonts w:ascii="Arial" w:eastAsia="Calibri" w:hAnsi="Arial" w:cs="Arial"/>
          <w:b/>
          <w:i/>
          <w:color w:val="000000"/>
          <w:sz w:val="20"/>
          <w:szCs w:val="20"/>
        </w:rPr>
      </w:pPr>
      <w:r w:rsidRPr="0057762E">
        <w:rPr>
          <w:rFonts w:ascii="Arial" w:eastAsia="Calibri" w:hAnsi="Arial" w:cs="Arial"/>
          <w:b/>
          <w:i/>
          <w:color w:val="000000"/>
          <w:sz w:val="20"/>
          <w:szCs w:val="20"/>
        </w:rPr>
        <w:t>Kryteria kliniczne</w:t>
      </w:r>
    </w:p>
    <w:p w:rsidR="0057762E" w:rsidRPr="0057762E" w:rsidRDefault="0057762E" w:rsidP="0057762E">
      <w:pPr>
        <w:autoSpaceDE w:val="0"/>
        <w:autoSpaceDN w:val="0"/>
        <w:adjustRightInd w:val="0"/>
        <w:spacing w:after="0"/>
        <w:rPr>
          <w:rFonts w:ascii="Arial" w:eastAsia="Calibri" w:hAnsi="Arial" w:cs="Arial"/>
          <w:b/>
          <w:i/>
          <w:color w:val="000000"/>
          <w:sz w:val="20"/>
          <w:szCs w:val="20"/>
        </w:rPr>
      </w:pPr>
      <w:r w:rsidRPr="0057762E">
        <w:rPr>
          <w:rFonts w:ascii="Arial" w:eastAsia="Calibri" w:hAnsi="Arial" w:cs="Arial"/>
          <w:i/>
          <w:color w:val="000000"/>
          <w:sz w:val="20"/>
          <w:szCs w:val="20"/>
        </w:rPr>
        <w:t>Nie dotyczy</w:t>
      </w:r>
    </w:p>
    <w:p w:rsidR="0057762E" w:rsidRPr="0057762E" w:rsidRDefault="0057762E" w:rsidP="0057762E">
      <w:pPr>
        <w:autoSpaceDE w:val="0"/>
        <w:autoSpaceDN w:val="0"/>
        <w:adjustRightInd w:val="0"/>
        <w:spacing w:after="0"/>
        <w:rPr>
          <w:rFonts w:ascii="Arial" w:eastAsia="Calibri" w:hAnsi="Arial" w:cs="Arial"/>
          <w:i/>
          <w:color w:val="000000"/>
          <w:sz w:val="20"/>
          <w:szCs w:val="20"/>
        </w:rPr>
      </w:pPr>
    </w:p>
    <w:p w:rsidR="0057762E" w:rsidRPr="0057762E" w:rsidRDefault="0057762E" w:rsidP="0057762E">
      <w:pPr>
        <w:autoSpaceDE w:val="0"/>
        <w:autoSpaceDN w:val="0"/>
        <w:adjustRightInd w:val="0"/>
        <w:spacing w:after="0"/>
        <w:rPr>
          <w:rFonts w:ascii="Arial" w:eastAsia="Calibri" w:hAnsi="Arial" w:cs="Arial"/>
          <w:b/>
          <w:i/>
          <w:color w:val="000000"/>
          <w:sz w:val="20"/>
          <w:szCs w:val="20"/>
        </w:rPr>
      </w:pPr>
      <w:r w:rsidRPr="0057762E">
        <w:rPr>
          <w:rFonts w:ascii="Arial" w:eastAsia="Calibri" w:hAnsi="Arial" w:cs="Arial"/>
          <w:b/>
          <w:i/>
          <w:color w:val="000000"/>
          <w:sz w:val="20"/>
          <w:szCs w:val="20"/>
        </w:rPr>
        <w:t>Kryteria laboratoryjne:</w:t>
      </w:r>
    </w:p>
    <w:p w:rsidR="0057762E" w:rsidRPr="0057762E" w:rsidRDefault="0057762E" w:rsidP="0057762E">
      <w:pPr>
        <w:autoSpaceDE w:val="0"/>
        <w:autoSpaceDN w:val="0"/>
        <w:adjustRightInd w:val="0"/>
        <w:spacing w:after="0"/>
        <w:rPr>
          <w:rFonts w:ascii="Arial" w:eastAsia="Calibri" w:hAnsi="Arial" w:cs="Arial"/>
          <w:i/>
          <w:color w:val="000000"/>
          <w:sz w:val="20"/>
          <w:szCs w:val="20"/>
        </w:rPr>
      </w:pPr>
      <w:r w:rsidRPr="0057762E">
        <w:rPr>
          <w:rFonts w:ascii="Arial" w:eastAsia="Calibri" w:hAnsi="Arial" w:cs="Arial"/>
          <w:i/>
          <w:color w:val="000000"/>
          <w:sz w:val="20"/>
          <w:szCs w:val="20"/>
        </w:rPr>
        <w:t>DLA OSTREGO WIRUSOWEGO ZAPALENIA WĄTROBY TYPU B:</w:t>
      </w:r>
    </w:p>
    <w:p w:rsidR="0057762E" w:rsidRPr="0057762E" w:rsidRDefault="0057762E" w:rsidP="0057762E">
      <w:pPr>
        <w:autoSpaceDE w:val="0"/>
        <w:autoSpaceDN w:val="0"/>
        <w:adjustRightInd w:val="0"/>
        <w:spacing w:after="0"/>
        <w:ind w:left="708"/>
        <w:rPr>
          <w:rFonts w:ascii="Arial" w:eastAsia="Calibri" w:hAnsi="Arial" w:cs="Arial"/>
          <w:i/>
          <w:color w:val="000000"/>
          <w:sz w:val="20"/>
          <w:szCs w:val="20"/>
        </w:rPr>
      </w:pPr>
      <w:r w:rsidRPr="0057762E">
        <w:rPr>
          <w:rFonts w:ascii="Arial" w:eastAsia="Calibri" w:hAnsi="Arial" w:cs="Arial"/>
          <w:i/>
          <w:color w:val="000000"/>
          <w:sz w:val="20"/>
          <w:szCs w:val="20"/>
        </w:rPr>
        <w:t>Wykrycie obecności swoistych przeciwciał IgM przeciw antygenowi rdzeniowemu wirusa zapalenia wątroby  typu B (anty-HBc IgM),</w:t>
      </w:r>
    </w:p>
    <w:p w:rsidR="0057762E" w:rsidRPr="0057762E" w:rsidRDefault="0057762E" w:rsidP="0057762E">
      <w:pPr>
        <w:autoSpaceDE w:val="0"/>
        <w:autoSpaceDN w:val="0"/>
        <w:adjustRightInd w:val="0"/>
        <w:spacing w:after="0"/>
        <w:rPr>
          <w:rFonts w:ascii="Arial" w:eastAsia="Calibri" w:hAnsi="Arial" w:cs="Arial"/>
          <w:b/>
          <w:i/>
          <w:color w:val="000000"/>
          <w:sz w:val="20"/>
          <w:szCs w:val="20"/>
        </w:rPr>
      </w:pPr>
    </w:p>
    <w:p w:rsidR="0057762E" w:rsidRPr="0057762E" w:rsidRDefault="0057762E" w:rsidP="0057762E">
      <w:pPr>
        <w:autoSpaceDE w:val="0"/>
        <w:autoSpaceDN w:val="0"/>
        <w:adjustRightInd w:val="0"/>
        <w:spacing w:after="0"/>
        <w:rPr>
          <w:rFonts w:ascii="Arial" w:eastAsia="Calibri" w:hAnsi="Arial" w:cs="Arial"/>
          <w:i/>
          <w:color w:val="000000"/>
          <w:sz w:val="20"/>
          <w:szCs w:val="20"/>
        </w:rPr>
      </w:pPr>
      <w:r w:rsidRPr="0057762E">
        <w:rPr>
          <w:rFonts w:ascii="Arial" w:eastAsia="Calibri" w:hAnsi="Arial" w:cs="Arial"/>
          <w:i/>
          <w:color w:val="000000"/>
          <w:sz w:val="20"/>
          <w:szCs w:val="20"/>
        </w:rPr>
        <w:lastRenderedPageBreak/>
        <w:t>DLA PRZEWLEKŁEGO</w:t>
      </w:r>
      <w:r w:rsidRPr="0057762E">
        <w:rPr>
          <w:rFonts w:ascii="Arial" w:eastAsia="Calibri" w:hAnsi="Arial" w:cs="Arial"/>
          <w:i/>
          <w:color w:val="000000"/>
          <w:sz w:val="20"/>
          <w:szCs w:val="20"/>
          <w:vertAlign w:val="superscript"/>
        </w:rPr>
        <w:t xml:space="preserve">2) </w:t>
      </w:r>
      <w:r w:rsidRPr="0057762E">
        <w:rPr>
          <w:rFonts w:ascii="Arial" w:eastAsia="Calibri" w:hAnsi="Arial" w:cs="Arial"/>
          <w:i/>
          <w:color w:val="000000"/>
          <w:sz w:val="20"/>
          <w:szCs w:val="20"/>
        </w:rPr>
        <w:t>LUB BLIŻEJ NIEOKREŚLONEGO WIRUSOWEGO ZAPALENIA WĄTROBY TYPU B:</w:t>
      </w:r>
    </w:p>
    <w:p w:rsidR="0057762E" w:rsidRPr="0057762E" w:rsidRDefault="0057762E" w:rsidP="0057762E">
      <w:pPr>
        <w:autoSpaceDE w:val="0"/>
        <w:autoSpaceDN w:val="0"/>
        <w:adjustRightInd w:val="0"/>
        <w:spacing w:after="0"/>
        <w:ind w:left="708"/>
        <w:rPr>
          <w:rFonts w:ascii="Arial" w:eastAsia="Calibri" w:hAnsi="Arial" w:cs="Arial"/>
          <w:i/>
          <w:color w:val="000000"/>
          <w:sz w:val="20"/>
          <w:szCs w:val="20"/>
        </w:rPr>
      </w:pPr>
      <w:r w:rsidRPr="0057762E">
        <w:rPr>
          <w:rFonts w:ascii="Arial" w:eastAsia="Calibri" w:hAnsi="Arial" w:cs="Arial"/>
          <w:i/>
          <w:color w:val="000000"/>
          <w:sz w:val="20"/>
          <w:szCs w:val="20"/>
        </w:rPr>
        <w:t>Co najmniej jedno z trzech następujących kryteriów:</w:t>
      </w:r>
    </w:p>
    <w:p w:rsidR="0057762E" w:rsidRPr="0057762E" w:rsidRDefault="0057762E" w:rsidP="0057762E">
      <w:pPr>
        <w:autoSpaceDE w:val="0"/>
        <w:autoSpaceDN w:val="0"/>
        <w:adjustRightInd w:val="0"/>
        <w:spacing w:after="0"/>
        <w:ind w:left="708"/>
        <w:rPr>
          <w:rFonts w:ascii="Arial" w:eastAsia="Calibri" w:hAnsi="Arial" w:cs="Arial"/>
          <w:i/>
          <w:color w:val="000000"/>
          <w:sz w:val="20"/>
          <w:szCs w:val="20"/>
        </w:rPr>
      </w:pPr>
      <w:r w:rsidRPr="0057762E">
        <w:rPr>
          <w:rFonts w:ascii="Arial" w:eastAsia="Calibri" w:hAnsi="Arial" w:cs="Arial"/>
          <w:i/>
          <w:color w:val="000000"/>
          <w:sz w:val="20"/>
          <w:szCs w:val="20"/>
        </w:rPr>
        <w:t>- wykrycie antygenu powierzchniowego wirusa zapalenia wątroby typu B (HBsAg),</w:t>
      </w:r>
    </w:p>
    <w:p w:rsidR="0057762E" w:rsidRPr="0057762E" w:rsidRDefault="0057762E" w:rsidP="0057762E">
      <w:pPr>
        <w:autoSpaceDE w:val="0"/>
        <w:autoSpaceDN w:val="0"/>
        <w:adjustRightInd w:val="0"/>
        <w:spacing w:after="0"/>
        <w:ind w:left="708"/>
        <w:rPr>
          <w:rFonts w:ascii="Arial" w:eastAsia="Calibri" w:hAnsi="Arial" w:cs="Arial"/>
          <w:i/>
          <w:color w:val="000000"/>
          <w:sz w:val="20"/>
          <w:szCs w:val="20"/>
        </w:rPr>
      </w:pPr>
      <w:r w:rsidRPr="0057762E">
        <w:rPr>
          <w:rFonts w:ascii="Arial" w:eastAsia="Calibri" w:hAnsi="Arial" w:cs="Arial"/>
          <w:i/>
          <w:color w:val="000000"/>
          <w:sz w:val="20"/>
          <w:szCs w:val="20"/>
        </w:rPr>
        <w:t xml:space="preserve">- wykrycie antygenu </w:t>
      </w:r>
      <w:r w:rsidRPr="00BA6E2E">
        <w:rPr>
          <w:rFonts w:ascii="Arial" w:eastAsia="Calibri" w:hAnsi="Arial" w:cs="Arial"/>
          <w:i/>
          <w:color w:val="000000"/>
          <w:sz w:val="20"/>
          <w:szCs w:val="20"/>
        </w:rPr>
        <w:t>e</w:t>
      </w:r>
      <w:r w:rsidRPr="0057762E">
        <w:rPr>
          <w:rFonts w:ascii="Arial" w:eastAsia="Calibri" w:hAnsi="Arial" w:cs="Arial"/>
          <w:i/>
          <w:color w:val="000000"/>
          <w:sz w:val="20"/>
          <w:szCs w:val="20"/>
        </w:rPr>
        <w:t xml:space="preserve"> wirusa zapalenia wątroby typu B (HBeAg),</w:t>
      </w:r>
    </w:p>
    <w:p w:rsidR="0057762E" w:rsidRPr="0057762E" w:rsidRDefault="0057762E" w:rsidP="0057762E">
      <w:pPr>
        <w:autoSpaceDE w:val="0"/>
        <w:autoSpaceDN w:val="0"/>
        <w:adjustRightInd w:val="0"/>
        <w:spacing w:after="0"/>
        <w:ind w:left="708"/>
        <w:rPr>
          <w:rFonts w:ascii="Arial" w:eastAsia="Calibri" w:hAnsi="Arial" w:cs="Arial"/>
          <w:i/>
          <w:color w:val="000000"/>
          <w:sz w:val="20"/>
          <w:szCs w:val="20"/>
        </w:rPr>
      </w:pPr>
      <w:r w:rsidRPr="0057762E">
        <w:rPr>
          <w:rFonts w:ascii="Arial" w:eastAsia="Calibri" w:hAnsi="Arial" w:cs="Arial"/>
          <w:i/>
          <w:color w:val="000000"/>
          <w:sz w:val="20"/>
          <w:szCs w:val="20"/>
        </w:rPr>
        <w:t>- wykrycie kwasu nukleinowego wirusa zapalenia wątroby typu B (HBV DNA).</w:t>
      </w:r>
    </w:p>
    <w:p w:rsidR="0057762E" w:rsidRPr="0057762E" w:rsidRDefault="0057762E" w:rsidP="0057762E">
      <w:pPr>
        <w:autoSpaceDE w:val="0"/>
        <w:autoSpaceDN w:val="0"/>
        <w:adjustRightInd w:val="0"/>
        <w:spacing w:after="0"/>
        <w:rPr>
          <w:rFonts w:ascii="Arial" w:eastAsia="Calibri" w:hAnsi="Arial" w:cs="Arial"/>
          <w:i/>
          <w:color w:val="000000"/>
          <w:sz w:val="20"/>
          <w:szCs w:val="20"/>
        </w:rPr>
      </w:pPr>
    </w:p>
    <w:p w:rsidR="0057762E" w:rsidRPr="0057762E" w:rsidRDefault="0057762E" w:rsidP="0057762E">
      <w:pPr>
        <w:autoSpaceDE w:val="0"/>
        <w:autoSpaceDN w:val="0"/>
        <w:adjustRightInd w:val="0"/>
        <w:spacing w:after="0"/>
        <w:rPr>
          <w:rFonts w:ascii="Arial" w:eastAsia="Calibri" w:hAnsi="Arial" w:cs="Arial"/>
          <w:b/>
          <w:i/>
          <w:color w:val="000000"/>
          <w:sz w:val="20"/>
          <w:szCs w:val="20"/>
        </w:rPr>
      </w:pPr>
      <w:r w:rsidRPr="0057762E">
        <w:rPr>
          <w:rFonts w:ascii="Arial" w:eastAsia="Calibri" w:hAnsi="Arial" w:cs="Arial"/>
          <w:b/>
          <w:i/>
          <w:color w:val="000000"/>
          <w:sz w:val="20"/>
          <w:szCs w:val="20"/>
        </w:rPr>
        <w:t>Kryteria epidemiologiczne</w:t>
      </w:r>
    </w:p>
    <w:p w:rsidR="00293655" w:rsidRPr="00293655" w:rsidRDefault="0057762E" w:rsidP="0057762E">
      <w:pPr>
        <w:autoSpaceDE w:val="0"/>
        <w:autoSpaceDN w:val="0"/>
        <w:adjustRightInd w:val="0"/>
        <w:spacing w:after="0"/>
        <w:rPr>
          <w:rFonts w:ascii="Arial" w:eastAsia="Calibri" w:hAnsi="Arial" w:cs="Arial"/>
          <w:i/>
          <w:color w:val="000000"/>
          <w:sz w:val="20"/>
          <w:szCs w:val="20"/>
        </w:rPr>
      </w:pPr>
      <w:r w:rsidRPr="0057762E">
        <w:rPr>
          <w:rFonts w:ascii="Arial" w:eastAsia="Calibri" w:hAnsi="Arial" w:cs="Arial"/>
          <w:i/>
          <w:color w:val="000000"/>
          <w:sz w:val="20"/>
          <w:szCs w:val="20"/>
        </w:rPr>
        <w:t>Nie dotyczy</w:t>
      </w:r>
    </w:p>
    <w:p w:rsidR="00293655" w:rsidRPr="0057762E" w:rsidRDefault="00293655" w:rsidP="0057762E">
      <w:pPr>
        <w:autoSpaceDE w:val="0"/>
        <w:autoSpaceDN w:val="0"/>
        <w:adjustRightInd w:val="0"/>
        <w:spacing w:after="0"/>
        <w:rPr>
          <w:rFonts w:ascii="Arial" w:eastAsia="Calibri" w:hAnsi="Arial" w:cs="Arial"/>
          <w:b/>
          <w:i/>
          <w:color w:val="000000"/>
          <w:sz w:val="20"/>
          <w:szCs w:val="20"/>
        </w:rPr>
      </w:pPr>
    </w:p>
    <w:p w:rsidR="0057762E" w:rsidRPr="0057762E" w:rsidRDefault="0057762E" w:rsidP="0057762E">
      <w:pPr>
        <w:autoSpaceDE w:val="0"/>
        <w:autoSpaceDN w:val="0"/>
        <w:adjustRightInd w:val="0"/>
        <w:spacing w:after="0"/>
        <w:rPr>
          <w:rFonts w:ascii="Arial" w:eastAsia="Calibri" w:hAnsi="Arial" w:cs="Arial"/>
          <w:b/>
          <w:i/>
          <w:color w:val="000000"/>
          <w:sz w:val="20"/>
          <w:szCs w:val="20"/>
        </w:rPr>
      </w:pPr>
      <w:r w:rsidRPr="0057762E">
        <w:rPr>
          <w:rFonts w:ascii="Arial" w:eastAsia="Calibri" w:hAnsi="Arial" w:cs="Arial"/>
          <w:b/>
          <w:i/>
          <w:color w:val="000000"/>
          <w:sz w:val="20"/>
          <w:szCs w:val="20"/>
        </w:rPr>
        <w:t>Klasyfikacja przypadku</w:t>
      </w:r>
    </w:p>
    <w:p w:rsidR="0057762E" w:rsidRPr="0057762E" w:rsidRDefault="0057762E" w:rsidP="0057762E">
      <w:pPr>
        <w:autoSpaceDE w:val="0"/>
        <w:autoSpaceDN w:val="0"/>
        <w:adjustRightInd w:val="0"/>
        <w:spacing w:after="0"/>
        <w:rPr>
          <w:rFonts w:ascii="Arial" w:eastAsia="Calibri" w:hAnsi="Arial" w:cs="Arial"/>
          <w:i/>
          <w:color w:val="000000"/>
          <w:sz w:val="20"/>
          <w:szCs w:val="20"/>
        </w:rPr>
      </w:pPr>
    </w:p>
    <w:p w:rsidR="0057762E" w:rsidRPr="0057762E" w:rsidRDefault="0057762E" w:rsidP="0057762E">
      <w:pPr>
        <w:numPr>
          <w:ilvl w:val="0"/>
          <w:numId w:val="1"/>
        </w:numPr>
        <w:autoSpaceDE w:val="0"/>
        <w:autoSpaceDN w:val="0"/>
        <w:adjustRightInd w:val="0"/>
        <w:spacing w:after="0"/>
        <w:contextualSpacing/>
        <w:rPr>
          <w:rFonts w:ascii="Arial" w:eastAsia="Calibri" w:hAnsi="Arial" w:cs="Arial"/>
          <w:i/>
          <w:color w:val="000000"/>
          <w:sz w:val="20"/>
          <w:szCs w:val="20"/>
        </w:rPr>
      </w:pPr>
      <w:r w:rsidRPr="0057762E">
        <w:rPr>
          <w:rFonts w:ascii="Arial" w:eastAsia="Calibri" w:hAnsi="Arial" w:cs="Arial"/>
          <w:b/>
          <w:i/>
          <w:color w:val="000000"/>
          <w:sz w:val="20"/>
          <w:szCs w:val="20"/>
        </w:rPr>
        <w:t>Przypadek możliwy</w:t>
      </w:r>
      <w:r w:rsidRPr="0057762E">
        <w:rPr>
          <w:rFonts w:ascii="Arial" w:eastAsia="Calibri" w:hAnsi="Arial" w:cs="Arial"/>
          <w:i/>
          <w:color w:val="000000"/>
          <w:sz w:val="20"/>
          <w:szCs w:val="20"/>
        </w:rPr>
        <w:tab/>
      </w:r>
      <w:r w:rsidRPr="0057762E">
        <w:rPr>
          <w:rFonts w:ascii="Arial" w:eastAsia="Calibri" w:hAnsi="Arial" w:cs="Arial"/>
          <w:i/>
          <w:color w:val="000000"/>
          <w:sz w:val="20"/>
          <w:szCs w:val="20"/>
        </w:rPr>
        <w:tab/>
      </w:r>
      <w:r w:rsidRPr="0057762E">
        <w:rPr>
          <w:rFonts w:ascii="Arial" w:eastAsia="Calibri" w:hAnsi="Arial" w:cs="Arial"/>
          <w:i/>
          <w:color w:val="000000"/>
          <w:sz w:val="20"/>
          <w:szCs w:val="20"/>
        </w:rPr>
        <w:tab/>
      </w:r>
    </w:p>
    <w:p w:rsidR="0057762E" w:rsidRPr="0057762E" w:rsidRDefault="0057762E" w:rsidP="0057762E">
      <w:pPr>
        <w:autoSpaceDE w:val="0"/>
        <w:autoSpaceDN w:val="0"/>
        <w:adjustRightInd w:val="0"/>
        <w:spacing w:after="0"/>
        <w:ind w:left="720"/>
        <w:contextualSpacing/>
        <w:rPr>
          <w:rFonts w:ascii="Arial" w:eastAsia="Calibri" w:hAnsi="Arial" w:cs="Arial"/>
          <w:i/>
          <w:color w:val="000000"/>
          <w:sz w:val="20"/>
          <w:szCs w:val="20"/>
        </w:rPr>
      </w:pPr>
      <w:r w:rsidRPr="0057762E">
        <w:rPr>
          <w:rFonts w:ascii="Arial" w:eastAsia="Calibri" w:hAnsi="Arial" w:cs="Arial"/>
          <w:i/>
          <w:color w:val="000000"/>
          <w:sz w:val="20"/>
          <w:szCs w:val="20"/>
        </w:rPr>
        <w:t>Nie dotyczy.</w:t>
      </w:r>
    </w:p>
    <w:p w:rsidR="0057762E" w:rsidRPr="0057762E" w:rsidRDefault="0057762E" w:rsidP="0057762E">
      <w:pPr>
        <w:numPr>
          <w:ilvl w:val="0"/>
          <w:numId w:val="1"/>
        </w:numPr>
        <w:autoSpaceDE w:val="0"/>
        <w:autoSpaceDN w:val="0"/>
        <w:adjustRightInd w:val="0"/>
        <w:spacing w:after="0"/>
        <w:contextualSpacing/>
        <w:rPr>
          <w:rFonts w:ascii="Arial" w:eastAsia="Calibri" w:hAnsi="Arial" w:cs="Arial"/>
          <w:b/>
          <w:i/>
          <w:color w:val="000000"/>
          <w:sz w:val="20"/>
          <w:szCs w:val="20"/>
        </w:rPr>
      </w:pPr>
      <w:r w:rsidRPr="0057762E">
        <w:rPr>
          <w:rFonts w:ascii="Arial" w:eastAsia="Calibri" w:hAnsi="Arial" w:cs="Arial"/>
          <w:b/>
          <w:i/>
          <w:color w:val="000000"/>
          <w:sz w:val="20"/>
          <w:szCs w:val="20"/>
        </w:rPr>
        <w:t xml:space="preserve">Przypadek prawdopodobny </w:t>
      </w:r>
      <w:r w:rsidRPr="0057762E">
        <w:rPr>
          <w:rFonts w:ascii="Arial" w:eastAsia="Calibri" w:hAnsi="Arial" w:cs="Arial"/>
          <w:b/>
          <w:i/>
          <w:color w:val="000000"/>
          <w:sz w:val="20"/>
          <w:szCs w:val="20"/>
        </w:rPr>
        <w:tab/>
      </w:r>
      <w:r w:rsidRPr="0057762E">
        <w:rPr>
          <w:rFonts w:ascii="Arial" w:eastAsia="Calibri" w:hAnsi="Arial" w:cs="Arial"/>
          <w:b/>
          <w:i/>
          <w:color w:val="000000"/>
          <w:sz w:val="20"/>
          <w:szCs w:val="20"/>
        </w:rPr>
        <w:tab/>
      </w:r>
    </w:p>
    <w:p w:rsidR="0057762E" w:rsidRPr="0057762E" w:rsidRDefault="0057762E" w:rsidP="0057762E">
      <w:pPr>
        <w:autoSpaceDE w:val="0"/>
        <w:autoSpaceDN w:val="0"/>
        <w:adjustRightInd w:val="0"/>
        <w:spacing w:after="0"/>
        <w:ind w:left="720"/>
        <w:contextualSpacing/>
        <w:rPr>
          <w:rFonts w:ascii="Arial" w:eastAsia="Calibri" w:hAnsi="Arial" w:cs="Arial"/>
          <w:i/>
          <w:color w:val="000000"/>
          <w:sz w:val="20"/>
          <w:szCs w:val="20"/>
        </w:rPr>
      </w:pPr>
      <w:r w:rsidRPr="0057762E">
        <w:rPr>
          <w:rFonts w:ascii="Arial" w:eastAsia="Calibri" w:hAnsi="Arial" w:cs="Arial"/>
          <w:i/>
          <w:color w:val="000000"/>
          <w:sz w:val="20"/>
          <w:szCs w:val="20"/>
        </w:rPr>
        <w:t>Nie dotyczy.</w:t>
      </w:r>
    </w:p>
    <w:p w:rsidR="0057762E" w:rsidRPr="0057762E" w:rsidRDefault="0057762E" w:rsidP="0057762E">
      <w:pPr>
        <w:numPr>
          <w:ilvl w:val="0"/>
          <w:numId w:val="1"/>
        </w:numPr>
        <w:autoSpaceDE w:val="0"/>
        <w:autoSpaceDN w:val="0"/>
        <w:adjustRightInd w:val="0"/>
        <w:spacing w:after="0"/>
        <w:contextualSpacing/>
        <w:rPr>
          <w:rFonts w:ascii="Arial" w:eastAsia="Calibri" w:hAnsi="Arial" w:cs="Arial"/>
          <w:i/>
          <w:color w:val="000000"/>
          <w:sz w:val="20"/>
          <w:szCs w:val="20"/>
        </w:rPr>
      </w:pPr>
      <w:r w:rsidRPr="0057762E">
        <w:rPr>
          <w:rFonts w:ascii="Arial" w:eastAsia="Calibri" w:hAnsi="Arial" w:cs="Arial"/>
          <w:b/>
          <w:i/>
          <w:color w:val="000000"/>
          <w:sz w:val="20"/>
          <w:szCs w:val="20"/>
        </w:rPr>
        <w:t xml:space="preserve">Przypadek potwierdzony </w:t>
      </w:r>
    </w:p>
    <w:p w:rsidR="0057762E" w:rsidRPr="0057762E" w:rsidRDefault="0057762E" w:rsidP="0057762E">
      <w:pPr>
        <w:ind w:firstLine="708"/>
        <w:rPr>
          <w:rFonts w:ascii="ArialMTPlCondRegular" w:eastAsia="Calibri" w:hAnsi="ArialMTPlCondRegular" w:cs="ArialMTPlCondRegular"/>
          <w:i/>
          <w:color w:val="000000"/>
          <w:sz w:val="20"/>
          <w:szCs w:val="20"/>
        </w:rPr>
      </w:pPr>
      <w:r w:rsidRPr="0057762E">
        <w:rPr>
          <w:rFonts w:ascii="Arial" w:eastAsia="Calibri" w:hAnsi="Arial" w:cs="Arial"/>
          <w:i/>
          <w:color w:val="000000"/>
          <w:sz w:val="20"/>
          <w:szCs w:val="20"/>
        </w:rPr>
        <w:t xml:space="preserve">Każda osoba spełniająca kryteria laboratoryjne </w:t>
      </w:r>
      <w:r w:rsidRPr="0057762E" w:rsidDel="00806D7D">
        <w:rPr>
          <w:rFonts w:ascii="Arial" w:eastAsia="Calibri" w:hAnsi="Arial" w:cs="Arial"/>
          <w:b/>
          <w:i/>
          <w:color w:val="000000"/>
          <w:sz w:val="20"/>
          <w:szCs w:val="20"/>
        </w:rPr>
        <w:t xml:space="preserve"> </w:t>
      </w:r>
    </w:p>
    <w:p w:rsidR="0057762E" w:rsidRPr="0057762E" w:rsidRDefault="0057762E" w:rsidP="0057762E">
      <w:pPr>
        <w:spacing w:line="240" w:lineRule="auto"/>
        <w:rPr>
          <w:rFonts w:ascii="ArialMTPlCondRegular" w:eastAsia="Calibri" w:hAnsi="ArialMTPlCondRegular" w:cs="ArialMTPlCondRegular"/>
          <w:color w:val="000000"/>
          <w:sz w:val="19"/>
          <w:szCs w:val="19"/>
        </w:rPr>
      </w:pPr>
    </w:p>
    <w:p w:rsidR="0057762E" w:rsidRPr="0057762E" w:rsidRDefault="0057762E" w:rsidP="0057762E">
      <w:pPr>
        <w:rPr>
          <w:rFonts w:ascii="ArialMTPlCondRegular" w:eastAsia="Calibri" w:hAnsi="ArialMTPlCondRegular" w:cs="ArialMTPlCondRegular"/>
          <w:color w:val="000000"/>
          <w:sz w:val="19"/>
          <w:szCs w:val="19"/>
        </w:rPr>
      </w:pPr>
      <w:r w:rsidRPr="0057762E">
        <w:rPr>
          <w:rFonts w:ascii="ArialMTPlCondRegular" w:eastAsia="Calibri" w:hAnsi="ArialMTPlCondRegular" w:cs="ArialMTPlCondRegular"/>
          <w:color w:val="000000"/>
          <w:sz w:val="19"/>
          <w:szCs w:val="19"/>
        </w:rPr>
        <w:t>___________</w:t>
      </w:r>
    </w:p>
    <w:p w:rsidR="0057762E" w:rsidRPr="0057762E" w:rsidRDefault="0057762E" w:rsidP="0057762E">
      <w:pPr>
        <w:spacing w:after="0"/>
        <w:rPr>
          <w:rFonts w:ascii="Arial" w:eastAsia="Calibri" w:hAnsi="Arial" w:cs="Arial"/>
          <w:i/>
          <w:color w:val="000000"/>
          <w:sz w:val="26"/>
          <w:szCs w:val="26"/>
          <w:vertAlign w:val="superscript"/>
        </w:rPr>
      </w:pPr>
      <w:r w:rsidRPr="0057762E">
        <w:rPr>
          <w:rFonts w:ascii="Arial" w:eastAsia="Calibri" w:hAnsi="Arial" w:cs="Arial"/>
          <w:color w:val="000000"/>
          <w:sz w:val="26"/>
          <w:szCs w:val="26"/>
          <w:vertAlign w:val="superscript"/>
        </w:rPr>
        <w:t xml:space="preserve">1) Definicja zmodyfikowana w 2014 r. na podstawie definicji wprowadzonej przez Komisję Europejską w 2012 r. (2012/506/EU). W definicji przyjętej w Polsce dokonano rozdziału kryteriów laboratoryjnych na kryteria dla postaci ostrej i na kryteria dla postaci przewlekłej lub postaci nieokreślonej </w:t>
      </w:r>
      <w:r w:rsidRPr="0057762E">
        <w:rPr>
          <w:rFonts w:ascii="Arial" w:eastAsia="Calibri" w:hAnsi="Arial" w:cs="Arial"/>
          <w:i/>
          <w:color w:val="000000"/>
          <w:sz w:val="26"/>
          <w:szCs w:val="26"/>
          <w:vertAlign w:val="superscript"/>
        </w:rPr>
        <w:t>(przyp. red. pol.)</w:t>
      </w:r>
    </w:p>
    <w:p w:rsidR="0057762E" w:rsidRPr="0057762E" w:rsidRDefault="0057762E" w:rsidP="0057762E">
      <w:pPr>
        <w:spacing w:after="0"/>
        <w:rPr>
          <w:rFonts w:ascii="Arial" w:eastAsia="Calibri" w:hAnsi="Arial" w:cs="Arial"/>
          <w:color w:val="000000"/>
          <w:sz w:val="26"/>
          <w:szCs w:val="26"/>
          <w:vertAlign w:val="superscript"/>
        </w:rPr>
      </w:pPr>
      <w:r w:rsidRPr="0057762E">
        <w:rPr>
          <w:rFonts w:ascii="Arial" w:eastAsia="Calibri" w:hAnsi="Arial" w:cs="Arial"/>
          <w:color w:val="000000"/>
          <w:sz w:val="26"/>
          <w:szCs w:val="26"/>
          <w:vertAlign w:val="superscript"/>
        </w:rPr>
        <w:t xml:space="preserve">2) W celu zakwalifikowania przypadku jako przewlekłego wzw B należy a) wykazać obecność HBsAg lub HBeAg lub HBV-DNA przy jednoczesnym braku obecności (ujemny wynik) anty-HBc IgM lub b) wykazać obecność jednego z trzech wymienionych markerów w dwóch badaniach wykonanych w odstępie co najmniej 6 miesięcy. W przypadku niespełnienia kryteriów laboratoryjnych wymaganych dla postaci ostrej lub opisanych powyżej kryteriów postaci przewlekłej przypadek należy zakwalifikować jako bliżej nieokreślone wzw B </w:t>
      </w:r>
      <w:r w:rsidRPr="0057762E">
        <w:rPr>
          <w:rFonts w:ascii="Arial" w:eastAsia="Calibri" w:hAnsi="Arial" w:cs="Arial"/>
          <w:i/>
          <w:color w:val="000000"/>
          <w:sz w:val="26"/>
          <w:szCs w:val="26"/>
          <w:vertAlign w:val="superscript"/>
        </w:rPr>
        <w:t>(przyp. red. pol.)</w:t>
      </w:r>
      <w:r w:rsidRPr="0057762E">
        <w:rPr>
          <w:rFonts w:ascii="Arial" w:eastAsia="Calibri" w:hAnsi="Arial" w:cs="Arial"/>
          <w:color w:val="000000"/>
          <w:sz w:val="26"/>
          <w:szCs w:val="26"/>
          <w:vertAlign w:val="superscript"/>
        </w:rPr>
        <w:t>.</w:t>
      </w:r>
    </w:p>
    <w:p w:rsidR="00B576A5" w:rsidRDefault="00B576A5" w:rsidP="00965DA6">
      <w:pPr>
        <w:pStyle w:val="Bezodstpw"/>
        <w:rPr>
          <w:noProof/>
          <w:lang w:eastAsia="pl-PL"/>
        </w:rPr>
      </w:pPr>
    </w:p>
    <w:p w:rsidR="00293655" w:rsidRDefault="00293655" w:rsidP="00965DA6">
      <w:pPr>
        <w:pStyle w:val="Bezodstpw"/>
        <w:rPr>
          <w:noProof/>
          <w:lang w:eastAsia="pl-PL"/>
        </w:rPr>
      </w:pPr>
    </w:p>
    <w:p w:rsidR="00D61134" w:rsidRDefault="00D61134" w:rsidP="00965DA6">
      <w:pPr>
        <w:pStyle w:val="Bezodstpw"/>
        <w:rPr>
          <w:noProof/>
          <w:lang w:eastAsia="pl-PL"/>
        </w:rPr>
      </w:pPr>
    </w:p>
    <w:p w:rsidR="00FF725F" w:rsidRDefault="00FF725F" w:rsidP="00965DA6">
      <w:pPr>
        <w:pStyle w:val="Bezodstpw"/>
        <w:rPr>
          <w:noProof/>
          <w:lang w:eastAsia="pl-PL"/>
        </w:rPr>
      </w:pPr>
    </w:p>
    <w:p w:rsidR="00293655" w:rsidRDefault="00293655" w:rsidP="00965DA6">
      <w:pPr>
        <w:pStyle w:val="Bezodstpw"/>
        <w:rPr>
          <w:noProof/>
          <w:lang w:eastAsia="pl-PL"/>
        </w:rPr>
      </w:pPr>
    </w:p>
    <w:p w:rsidR="00293655" w:rsidRDefault="00293655" w:rsidP="00965DA6">
      <w:pPr>
        <w:pStyle w:val="Bezodstpw"/>
        <w:rPr>
          <w:noProof/>
          <w:lang w:eastAsia="pl-PL"/>
        </w:rPr>
      </w:pPr>
    </w:p>
    <w:p w:rsidR="00B576A5" w:rsidRDefault="007C08D2" w:rsidP="00965DA6">
      <w:pPr>
        <w:pStyle w:val="Bezodstpw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95616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45187</wp:posOffset>
            </wp:positionV>
            <wp:extent cx="3211195" cy="3211195"/>
            <wp:effectExtent l="0" t="0" r="8255" b="8255"/>
            <wp:wrapSquare wrapText="bothSides"/>
            <wp:docPr id="4" name="Obraz 4" descr="https://www.who.int/hepatitis/news-events/social-media-En-3.jpg?u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who.int/hepatitis/news-events/social-media-En-3.jpg?ua=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134" w:rsidRDefault="00D61134" w:rsidP="00965DA6">
      <w:pPr>
        <w:pStyle w:val="Bezodstpw"/>
        <w:rPr>
          <w:noProof/>
          <w:lang w:eastAsia="pl-PL"/>
        </w:rPr>
      </w:pPr>
    </w:p>
    <w:p w:rsidR="00D61134" w:rsidRPr="0057762E" w:rsidRDefault="00D61134" w:rsidP="00965DA6">
      <w:pPr>
        <w:pStyle w:val="Bezodstpw"/>
        <w:rPr>
          <w:noProof/>
          <w:lang w:eastAsia="pl-PL"/>
        </w:rPr>
      </w:pPr>
    </w:p>
    <w:p w:rsidR="00B576A5" w:rsidRPr="0057762E" w:rsidRDefault="00B576A5" w:rsidP="00965DA6">
      <w:pPr>
        <w:pStyle w:val="Bezodstpw"/>
        <w:rPr>
          <w:noProof/>
          <w:lang w:eastAsia="pl-PL"/>
        </w:rPr>
      </w:pPr>
    </w:p>
    <w:p w:rsidR="00B576A5" w:rsidRPr="0057762E" w:rsidRDefault="00B576A5" w:rsidP="00965DA6">
      <w:pPr>
        <w:pStyle w:val="Bezodstpw"/>
        <w:rPr>
          <w:rFonts w:ascii="Candara" w:hAnsi="Candara"/>
          <w:noProof/>
          <w:lang w:eastAsia="pl-PL"/>
        </w:rPr>
      </w:pPr>
    </w:p>
    <w:p w:rsidR="00B576A5" w:rsidRPr="0057762E" w:rsidRDefault="00B576A5" w:rsidP="00965DA6">
      <w:pPr>
        <w:pStyle w:val="Bezodstpw"/>
        <w:rPr>
          <w:rFonts w:ascii="Candara" w:hAnsi="Candara"/>
          <w:noProof/>
          <w:lang w:eastAsia="pl-PL"/>
        </w:rPr>
      </w:pPr>
    </w:p>
    <w:p w:rsidR="00701A2F" w:rsidRPr="0057762E" w:rsidRDefault="00701A2F" w:rsidP="009F1857">
      <w:pPr>
        <w:pStyle w:val="Bezodstpw"/>
        <w:jc w:val="both"/>
        <w:rPr>
          <w:rFonts w:ascii="Candara" w:hAnsi="Candara"/>
          <w:noProof/>
          <w:lang w:eastAsia="pl-PL"/>
        </w:rPr>
      </w:pPr>
    </w:p>
    <w:p w:rsidR="00701A2F" w:rsidRDefault="00701A2F" w:rsidP="009F1857">
      <w:pPr>
        <w:pStyle w:val="Bezodstpw"/>
        <w:jc w:val="both"/>
        <w:rPr>
          <w:rFonts w:ascii="Candara" w:hAnsi="Candara"/>
          <w:noProof/>
          <w:lang w:eastAsia="pl-PL"/>
        </w:rPr>
      </w:pPr>
    </w:p>
    <w:p w:rsidR="007C08D2" w:rsidRDefault="007C08D2" w:rsidP="009F1857">
      <w:pPr>
        <w:pStyle w:val="Bezodstpw"/>
        <w:jc w:val="both"/>
        <w:rPr>
          <w:rFonts w:ascii="Candara" w:hAnsi="Candara"/>
          <w:noProof/>
          <w:lang w:eastAsia="pl-PL"/>
        </w:rPr>
      </w:pPr>
    </w:p>
    <w:p w:rsidR="007C08D2" w:rsidRDefault="007C08D2" w:rsidP="009F1857">
      <w:pPr>
        <w:pStyle w:val="Bezodstpw"/>
        <w:jc w:val="both"/>
        <w:rPr>
          <w:rFonts w:ascii="Candara" w:hAnsi="Candara"/>
          <w:noProof/>
          <w:lang w:eastAsia="pl-PL"/>
        </w:rPr>
      </w:pPr>
    </w:p>
    <w:p w:rsidR="007C08D2" w:rsidRDefault="007C08D2" w:rsidP="009F1857">
      <w:pPr>
        <w:pStyle w:val="Bezodstpw"/>
        <w:jc w:val="both"/>
        <w:rPr>
          <w:rFonts w:ascii="Candara" w:hAnsi="Candara"/>
          <w:noProof/>
          <w:lang w:eastAsia="pl-PL"/>
        </w:rPr>
      </w:pPr>
    </w:p>
    <w:p w:rsidR="007C08D2" w:rsidRDefault="007C08D2" w:rsidP="009F1857">
      <w:pPr>
        <w:pStyle w:val="Bezodstpw"/>
        <w:jc w:val="both"/>
        <w:rPr>
          <w:rFonts w:ascii="Candara" w:hAnsi="Candara"/>
          <w:noProof/>
          <w:lang w:eastAsia="pl-PL"/>
        </w:rPr>
      </w:pPr>
    </w:p>
    <w:p w:rsidR="007C08D2" w:rsidRDefault="007C08D2" w:rsidP="009F1857">
      <w:pPr>
        <w:pStyle w:val="Bezodstpw"/>
        <w:jc w:val="both"/>
        <w:rPr>
          <w:rFonts w:ascii="Candara" w:hAnsi="Candara"/>
          <w:noProof/>
          <w:lang w:eastAsia="pl-PL"/>
        </w:rPr>
      </w:pPr>
    </w:p>
    <w:p w:rsidR="007C08D2" w:rsidRPr="0057762E" w:rsidRDefault="007C08D2" w:rsidP="009F1857">
      <w:pPr>
        <w:pStyle w:val="Bezodstpw"/>
        <w:jc w:val="both"/>
        <w:rPr>
          <w:rFonts w:ascii="Candara" w:hAnsi="Candara"/>
          <w:noProof/>
          <w:lang w:eastAsia="pl-PL"/>
        </w:rPr>
      </w:pPr>
    </w:p>
    <w:p w:rsidR="00701A2F" w:rsidRPr="0057762E" w:rsidRDefault="007C08D2" w:rsidP="009F1857">
      <w:pPr>
        <w:pStyle w:val="Bezodstpw"/>
        <w:jc w:val="both"/>
        <w:rPr>
          <w:rFonts w:ascii="Candara" w:hAnsi="Candara"/>
          <w:noProof/>
          <w:lang w:eastAsia="pl-PL"/>
        </w:rPr>
      </w:pPr>
      <w:r>
        <w:rPr>
          <w:rFonts w:ascii="Candara" w:hAnsi="Candara"/>
          <w:b/>
          <w:i/>
          <w:noProof/>
          <w:lang w:eastAsia="pl-PL"/>
        </w:rPr>
        <w:t>R</w:t>
      </w:r>
      <w:r w:rsidRPr="00FF5270">
        <w:rPr>
          <w:rFonts w:ascii="Candara" w:hAnsi="Candara"/>
          <w:b/>
          <w:i/>
          <w:noProof/>
          <w:lang w:eastAsia="pl-PL"/>
        </w:rPr>
        <w:t>yc.4.</w:t>
      </w:r>
      <w:r w:rsidRPr="00B576A5">
        <w:rPr>
          <w:rFonts w:ascii="Candara" w:hAnsi="Candara"/>
          <w:noProof/>
          <w:lang w:eastAsia="pl-PL"/>
        </w:rPr>
        <w:t xml:space="preserve"> Światowy Dzień WZW 2019. Kampania WHO na rzecz zwalczania</w:t>
      </w:r>
      <w:r>
        <w:rPr>
          <w:rFonts w:ascii="Candara" w:hAnsi="Candara"/>
          <w:noProof/>
          <w:lang w:eastAsia="pl-PL"/>
        </w:rPr>
        <w:t xml:space="preserve"> WZW</w:t>
      </w:r>
    </w:p>
    <w:p w:rsidR="00B576A5" w:rsidRDefault="00B576A5" w:rsidP="007C08D2">
      <w:pPr>
        <w:pStyle w:val="Bezodstpw"/>
        <w:jc w:val="both"/>
        <w:rPr>
          <w:rFonts w:ascii="Candara" w:hAnsi="Candara"/>
          <w:noProof/>
          <w:lang w:eastAsia="pl-PL"/>
        </w:rPr>
      </w:pPr>
    </w:p>
    <w:p w:rsidR="006F20BF" w:rsidRDefault="006F20BF" w:rsidP="007C08D2">
      <w:pPr>
        <w:pStyle w:val="Bezodstpw"/>
        <w:jc w:val="both"/>
        <w:rPr>
          <w:rFonts w:ascii="Candara" w:hAnsi="Candara"/>
          <w:noProof/>
          <w:lang w:eastAsia="pl-PL"/>
        </w:rPr>
      </w:pPr>
    </w:p>
    <w:p w:rsidR="006F20BF" w:rsidRDefault="006F20BF" w:rsidP="007C08D2">
      <w:pPr>
        <w:pStyle w:val="Bezodstpw"/>
        <w:jc w:val="both"/>
        <w:rPr>
          <w:rFonts w:ascii="Candara" w:hAnsi="Candara"/>
          <w:noProof/>
          <w:lang w:eastAsia="pl-PL"/>
        </w:rPr>
      </w:pPr>
    </w:p>
    <w:p w:rsidR="006F20BF" w:rsidRDefault="006F20BF" w:rsidP="007C08D2">
      <w:pPr>
        <w:pStyle w:val="Bezodstpw"/>
        <w:jc w:val="both"/>
        <w:rPr>
          <w:rFonts w:ascii="Candara" w:hAnsi="Candara"/>
          <w:noProof/>
          <w:lang w:eastAsia="pl-PL"/>
        </w:rPr>
      </w:pPr>
    </w:p>
    <w:p w:rsidR="006F20BF" w:rsidRDefault="006F20BF" w:rsidP="007C08D2">
      <w:pPr>
        <w:pStyle w:val="Bezodstpw"/>
        <w:jc w:val="both"/>
        <w:rPr>
          <w:rFonts w:ascii="Candara" w:hAnsi="Candara"/>
          <w:noProof/>
          <w:lang w:eastAsia="pl-PL"/>
        </w:rPr>
      </w:pPr>
    </w:p>
    <w:p w:rsidR="006F20BF" w:rsidRPr="006A1D76" w:rsidRDefault="006F20BF" w:rsidP="007C08D2">
      <w:pPr>
        <w:pStyle w:val="Bezodstpw"/>
        <w:jc w:val="both"/>
        <w:rPr>
          <w:rFonts w:ascii="Candara" w:hAnsi="Candara"/>
          <w:noProof/>
          <w:lang w:eastAsia="pl-PL"/>
        </w:rPr>
      </w:pPr>
      <w:r>
        <w:rPr>
          <w:rFonts w:ascii="Candara" w:hAnsi="Candara"/>
          <w:noProof/>
          <w:lang w:eastAsia="pl-PL"/>
        </w:rPr>
        <w:t xml:space="preserve"> </w:t>
      </w:r>
      <w:r w:rsidRPr="006F20BF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214A486A" wp14:editId="39C8D297">
            <wp:extent cx="4516341" cy="4516341"/>
            <wp:effectExtent l="19050" t="19050" r="17780" b="177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9000"/>
                              </a14:imgEffect>
                              <a14:imgEffect>
                                <a14:brightnessContrast contras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263" cy="452526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>
                          <a:lumMod val="40000"/>
                          <a:lumOff val="6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sectPr w:rsidR="006F20BF" w:rsidRPr="006A1D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655" w:rsidRDefault="00293655" w:rsidP="00293655">
      <w:pPr>
        <w:spacing w:after="0" w:line="240" w:lineRule="auto"/>
      </w:pPr>
      <w:r>
        <w:separator/>
      </w:r>
    </w:p>
  </w:endnote>
  <w:endnote w:type="continuationSeparator" w:id="0">
    <w:p w:rsidR="00293655" w:rsidRDefault="00293655" w:rsidP="00293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Bahnschrift SemiLigh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MTPlCond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655" w:rsidRDefault="00293655" w:rsidP="00293655">
      <w:pPr>
        <w:spacing w:after="0" w:line="240" w:lineRule="auto"/>
      </w:pPr>
      <w:r>
        <w:separator/>
      </w:r>
    </w:p>
  </w:footnote>
  <w:footnote w:type="continuationSeparator" w:id="0">
    <w:p w:rsidR="00293655" w:rsidRDefault="00293655" w:rsidP="002936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32393F"/>
    <w:multiLevelType w:val="hybridMultilevel"/>
    <w:tmpl w:val="A9EA05DE"/>
    <w:lvl w:ilvl="0" w:tplc="7AAA2FAE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sz w:val="19"/>
        <w:szCs w:val="19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0BB"/>
    <w:rsid w:val="000070BB"/>
    <w:rsid w:val="00025F88"/>
    <w:rsid w:val="00030B51"/>
    <w:rsid w:val="00067BFF"/>
    <w:rsid w:val="00074928"/>
    <w:rsid w:val="000964DD"/>
    <w:rsid w:val="000D5CFC"/>
    <w:rsid w:val="0012127F"/>
    <w:rsid w:val="001550B0"/>
    <w:rsid w:val="0018710D"/>
    <w:rsid w:val="00204300"/>
    <w:rsid w:val="00210AF5"/>
    <w:rsid w:val="002146BF"/>
    <w:rsid w:val="00257992"/>
    <w:rsid w:val="0026032E"/>
    <w:rsid w:val="00274378"/>
    <w:rsid w:val="00293655"/>
    <w:rsid w:val="00312092"/>
    <w:rsid w:val="00315506"/>
    <w:rsid w:val="003D20B2"/>
    <w:rsid w:val="003D5517"/>
    <w:rsid w:val="004005AE"/>
    <w:rsid w:val="00481218"/>
    <w:rsid w:val="004B75F4"/>
    <w:rsid w:val="004B7C2C"/>
    <w:rsid w:val="004C17FC"/>
    <w:rsid w:val="004E4035"/>
    <w:rsid w:val="00500174"/>
    <w:rsid w:val="00522B5D"/>
    <w:rsid w:val="005516CE"/>
    <w:rsid w:val="0057762E"/>
    <w:rsid w:val="00582EC7"/>
    <w:rsid w:val="005F554C"/>
    <w:rsid w:val="005F621A"/>
    <w:rsid w:val="0063760D"/>
    <w:rsid w:val="00640630"/>
    <w:rsid w:val="00676365"/>
    <w:rsid w:val="006A1D76"/>
    <w:rsid w:val="006F20BF"/>
    <w:rsid w:val="00701A2F"/>
    <w:rsid w:val="00745A9A"/>
    <w:rsid w:val="00795B45"/>
    <w:rsid w:val="007A7325"/>
    <w:rsid w:val="007C08D2"/>
    <w:rsid w:val="007F6497"/>
    <w:rsid w:val="00804040"/>
    <w:rsid w:val="008263A8"/>
    <w:rsid w:val="00827970"/>
    <w:rsid w:val="00895649"/>
    <w:rsid w:val="008B7D03"/>
    <w:rsid w:val="008F51A6"/>
    <w:rsid w:val="00906009"/>
    <w:rsid w:val="00965DA6"/>
    <w:rsid w:val="00987E2F"/>
    <w:rsid w:val="009F1857"/>
    <w:rsid w:val="00A11A01"/>
    <w:rsid w:val="00A3770E"/>
    <w:rsid w:val="00A61AC4"/>
    <w:rsid w:val="00A67DB8"/>
    <w:rsid w:val="00A84BB2"/>
    <w:rsid w:val="00A91567"/>
    <w:rsid w:val="00AE6D5C"/>
    <w:rsid w:val="00B249C1"/>
    <w:rsid w:val="00B576A5"/>
    <w:rsid w:val="00B609B2"/>
    <w:rsid w:val="00B72F20"/>
    <w:rsid w:val="00B90A72"/>
    <w:rsid w:val="00BA6E2E"/>
    <w:rsid w:val="00BB1353"/>
    <w:rsid w:val="00BC4C91"/>
    <w:rsid w:val="00BE59C1"/>
    <w:rsid w:val="00C10085"/>
    <w:rsid w:val="00C219E3"/>
    <w:rsid w:val="00C22028"/>
    <w:rsid w:val="00C52B7D"/>
    <w:rsid w:val="00C64341"/>
    <w:rsid w:val="00C86484"/>
    <w:rsid w:val="00C87E5F"/>
    <w:rsid w:val="00CC276F"/>
    <w:rsid w:val="00CC60B0"/>
    <w:rsid w:val="00CF1DF0"/>
    <w:rsid w:val="00D61134"/>
    <w:rsid w:val="00D6359E"/>
    <w:rsid w:val="00D71771"/>
    <w:rsid w:val="00D8505B"/>
    <w:rsid w:val="00DF4EEB"/>
    <w:rsid w:val="00E24EAE"/>
    <w:rsid w:val="00E71AE8"/>
    <w:rsid w:val="00E72B23"/>
    <w:rsid w:val="00EA4CC0"/>
    <w:rsid w:val="00EC22B8"/>
    <w:rsid w:val="00EC6859"/>
    <w:rsid w:val="00F344C4"/>
    <w:rsid w:val="00F813CE"/>
    <w:rsid w:val="00FD515A"/>
    <w:rsid w:val="00FF5270"/>
    <w:rsid w:val="00FF7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14D1DA-CE24-417B-A8D7-B6BE674F3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965DA6"/>
    <w:pPr>
      <w:spacing w:after="0" w:line="240" w:lineRule="auto"/>
    </w:p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7762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7762E"/>
    <w:rPr>
      <w:i/>
      <w:iCs/>
      <w:color w:val="4F81BD" w:themeColor="accent1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9365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9365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93655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D61134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9156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isp-szkolenia.pzh.gov.pl/dataset/hb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1147</Words>
  <Characters>6887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Stępień Małgorzata</dc:creator>
  <cp:lastModifiedBy>IHR</cp:lastModifiedBy>
  <cp:revision>5</cp:revision>
  <cp:lastPrinted>2019-07-23T17:05:00Z</cp:lastPrinted>
  <dcterms:created xsi:type="dcterms:W3CDTF">2019-08-03T06:32:00Z</dcterms:created>
  <dcterms:modified xsi:type="dcterms:W3CDTF">2019-08-03T07:28:00Z</dcterms:modified>
</cp:coreProperties>
</file>